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33D" w:rsidRPr="00C86CE3" w:rsidRDefault="0041633D" w:rsidP="0041633D">
      <w:pPr>
        <w:spacing w:before="100" w:beforeAutospacing="1" w:after="100" w:afterAutospacing="1" w:line="360" w:lineRule="auto"/>
        <w:jc w:val="both"/>
        <w:rPr>
          <w:rFonts w:ascii="Palatino Linotype" w:hAnsi="Palatino Linotype"/>
        </w:rPr>
      </w:pPr>
      <w:r w:rsidRPr="00C86CE3">
        <w:rPr>
          <w:rFonts w:ascii="Palatino Linotype" w:hAnsi="Palatino Linotype"/>
        </w:rPr>
        <w:t>Resolución del Pleno del Instituto de Transparencia, Acceso a la Información Pública y Protección de Datos Personales del Estado de México y Municipios, con domicilio en Metepec, Estado</w:t>
      </w:r>
      <w:r w:rsidR="00781220" w:rsidRPr="00C86CE3">
        <w:rPr>
          <w:rFonts w:ascii="Palatino Linotype" w:hAnsi="Palatino Linotype"/>
        </w:rPr>
        <w:t xml:space="preserve"> de México, de fecha </w:t>
      </w:r>
      <w:r w:rsidR="00C86CE3" w:rsidRPr="00C86CE3">
        <w:rPr>
          <w:rFonts w:ascii="Palatino Linotype" w:hAnsi="Palatino Linotype"/>
        </w:rPr>
        <w:t>trece</w:t>
      </w:r>
      <w:r w:rsidRPr="00C86CE3">
        <w:rPr>
          <w:rFonts w:ascii="Palatino Linotype" w:hAnsi="Palatino Linotype"/>
        </w:rPr>
        <w:t xml:space="preserve"> de febrero de dos mil diecinueve.</w:t>
      </w:r>
    </w:p>
    <w:p w:rsidR="0041633D" w:rsidRPr="00C86CE3" w:rsidRDefault="0041633D" w:rsidP="0041633D">
      <w:pPr>
        <w:spacing w:before="100" w:beforeAutospacing="1" w:after="100" w:afterAutospacing="1" w:line="360" w:lineRule="auto"/>
        <w:jc w:val="both"/>
        <w:rPr>
          <w:rFonts w:ascii="Palatino Linotype" w:hAnsi="Palatino Linotype"/>
        </w:rPr>
      </w:pPr>
      <w:r w:rsidRPr="00C86CE3">
        <w:rPr>
          <w:rFonts w:ascii="Palatino Linotype" w:hAnsi="Palatino Linotype"/>
          <w:b/>
        </w:rPr>
        <w:t>VISTO</w:t>
      </w:r>
      <w:r w:rsidRPr="00C86CE3">
        <w:rPr>
          <w:rFonts w:ascii="Palatino Linotype" w:hAnsi="Palatino Linotype"/>
        </w:rPr>
        <w:t xml:space="preserve"> el expediente formado con motivo del recurso de revisión </w:t>
      </w:r>
      <w:r w:rsidRPr="00C86CE3">
        <w:rPr>
          <w:rFonts w:ascii="Palatino Linotype" w:hAnsi="Palatino Linotype"/>
          <w:b/>
        </w:rPr>
        <w:t>04632/INFOEM/IP/RR/2018</w:t>
      </w:r>
      <w:r w:rsidRPr="00C86CE3">
        <w:rPr>
          <w:rFonts w:ascii="Palatino Linotype" w:hAnsi="Palatino Linotype"/>
        </w:rPr>
        <w:t xml:space="preserve">, promovido por </w:t>
      </w:r>
      <w:r w:rsidR="00E006EC" w:rsidRPr="00C86CE3">
        <w:rPr>
          <w:rFonts w:ascii="Palatino Linotype" w:hAnsi="Palatino Linotype"/>
        </w:rPr>
        <w:t>la</w:t>
      </w:r>
      <w:r w:rsidRPr="00C86CE3">
        <w:rPr>
          <w:rFonts w:ascii="Palatino Linotype" w:hAnsi="Palatino Linotype"/>
        </w:rPr>
        <w:t xml:space="preserve"> </w:t>
      </w:r>
      <w:r w:rsidRPr="00C86CE3">
        <w:rPr>
          <w:rFonts w:ascii="Palatino Linotype" w:hAnsi="Palatino Linotype"/>
          <w:b/>
        </w:rPr>
        <w:t xml:space="preserve">C. </w:t>
      </w:r>
      <w:r w:rsidR="001D1514" w:rsidRPr="001D1514">
        <w:rPr>
          <w:rFonts w:ascii="Palatino Linotype" w:hAnsi="Palatino Linotype"/>
          <w:b/>
        </w:rPr>
        <w:t>XXXX XXXXXXXXXXXX XXXXX</w:t>
      </w:r>
      <w:r w:rsidRPr="00C86CE3">
        <w:rPr>
          <w:rFonts w:ascii="Palatino Linotype" w:hAnsi="Palatino Linotype"/>
        </w:rPr>
        <w:t xml:space="preserve">, en lo sucesivo </w:t>
      </w:r>
      <w:r w:rsidR="00E006EC" w:rsidRPr="00C86CE3">
        <w:rPr>
          <w:rFonts w:ascii="Palatino Linotype" w:hAnsi="Palatino Linotype"/>
          <w:b/>
        </w:rPr>
        <w:t>LA</w:t>
      </w:r>
      <w:r w:rsidR="00A90F1D" w:rsidRPr="00C86CE3">
        <w:rPr>
          <w:rFonts w:ascii="Palatino Linotype" w:hAnsi="Palatino Linotype"/>
          <w:b/>
        </w:rPr>
        <w:t xml:space="preserve"> RECURRENTE</w:t>
      </w:r>
      <w:r w:rsidRPr="00C86CE3">
        <w:rPr>
          <w:rFonts w:ascii="Palatino Linotype" w:hAnsi="Palatino Linotype"/>
        </w:rPr>
        <w:t xml:space="preserve">, en contra de la </w:t>
      </w:r>
      <w:r w:rsidR="001425A3" w:rsidRPr="00C86CE3">
        <w:rPr>
          <w:rFonts w:ascii="Palatino Linotype" w:hAnsi="Palatino Linotype"/>
        </w:rPr>
        <w:t xml:space="preserve">falta de </w:t>
      </w:r>
      <w:r w:rsidRPr="00C86CE3">
        <w:rPr>
          <w:rFonts w:ascii="Palatino Linotype" w:hAnsi="Palatino Linotype"/>
        </w:rPr>
        <w:t>respuesta por</w:t>
      </w:r>
      <w:r w:rsidR="001425A3" w:rsidRPr="00C86CE3">
        <w:rPr>
          <w:rFonts w:ascii="Palatino Linotype" w:hAnsi="Palatino Linotype"/>
        </w:rPr>
        <w:t xml:space="preserve"> parte de</w:t>
      </w:r>
      <w:r w:rsidR="00E006EC" w:rsidRPr="00C86CE3">
        <w:rPr>
          <w:rFonts w:ascii="Palatino Linotype" w:hAnsi="Palatino Linotype"/>
        </w:rPr>
        <w:t>l</w:t>
      </w:r>
      <w:r w:rsidRPr="00C86CE3">
        <w:rPr>
          <w:rFonts w:ascii="Palatino Linotype" w:hAnsi="Palatino Linotype"/>
        </w:rPr>
        <w:t xml:space="preserve"> </w:t>
      </w:r>
      <w:r w:rsidR="00E006EC" w:rsidRPr="00C86CE3">
        <w:rPr>
          <w:rFonts w:ascii="Palatino Linotype" w:hAnsi="Palatino Linotype"/>
          <w:b/>
        </w:rPr>
        <w:t>Organismo Público Descentralizado para la Prestación de Los Servicios de Agua Potable Drenaje y Tratamiento de Aguas Residuales del Municipio de Huixquilucan México, denominado “Sistema Aguas de Huixquilucan”</w:t>
      </w:r>
      <w:r w:rsidRPr="00C86CE3">
        <w:rPr>
          <w:rFonts w:ascii="Palatino Linotype" w:hAnsi="Palatino Linotype"/>
        </w:rPr>
        <w:t xml:space="preserve">, en lo sucesivo </w:t>
      </w:r>
      <w:r w:rsidRPr="00C86CE3">
        <w:rPr>
          <w:rFonts w:ascii="Palatino Linotype" w:hAnsi="Palatino Linotype"/>
          <w:b/>
        </w:rPr>
        <w:t>EL SUJETO OBLIGADO</w:t>
      </w:r>
      <w:r w:rsidRPr="00C86CE3">
        <w:rPr>
          <w:rFonts w:ascii="Palatino Linotype" w:hAnsi="Palatino Linotype"/>
        </w:rPr>
        <w:t xml:space="preserve">, se procede a dictar la presente resolución con base en lo siguiente: </w:t>
      </w:r>
    </w:p>
    <w:p w:rsidR="0041633D" w:rsidRPr="00C86CE3" w:rsidRDefault="0041633D" w:rsidP="0041633D">
      <w:pPr>
        <w:spacing w:before="100" w:beforeAutospacing="1" w:after="100" w:afterAutospacing="1" w:line="360" w:lineRule="auto"/>
        <w:jc w:val="center"/>
        <w:rPr>
          <w:rFonts w:ascii="Palatino Linotype" w:hAnsi="Palatino Linotype"/>
          <w:b/>
          <w:bCs/>
          <w:spacing w:val="40"/>
          <w:sz w:val="28"/>
        </w:rPr>
      </w:pPr>
      <w:r w:rsidRPr="00C86CE3">
        <w:rPr>
          <w:rFonts w:ascii="Palatino Linotype" w:hAnsi="Palatino Linotype"/>
          <w:b/>
          <w:bCs/>
          <w:spacing w:val="40"/>
          <w:sz w:val="28"/>
        </w:rPr>
        <w:t>RESULTANDO</w:t>
      </w:r>
    </w:p>
    <w:p w:rsidR="0041633D" w:rsidRPr="00C86CE3" w:rsidRDefault="0041633D" w:rsidP="0041633D">
      <w:pPr>
        <w:pStyle w:val="Prrafodelista"/>
        <w:tabs>
          <w:tab w:val="left" w:pos="567"/>
        </w:tabs>
        <w:spacing w:before="100" w:beforeAutospacing="1" w:after="100" w:afterAutospacing="1" w:line="360" w:lineRule="auto"/>
        <w:ind w:left="0"/>
        <w:jc w:val="both"/>
        <w:rPr>
          <w:rFonts w:ascii="Palatino Linotype" w:hAnsi="Palatino Linotype" w:cs="Arial"/>
        </w:rPr>
      </w:pPr>
      <w:r w:rsidRPr="00C86CE3">
        <w:rPr>
          <w:rFonts w:ascii="Palatino Linotype" w:hAnsi="Palatino Linotype"/>
          <w:b/>
          <w:sz w:val="28"/>
          <w:szCs w:val="28"/>
        </w:rPr>
        <w:t>I.</w:t>
      </w:r>
      <w:r w:rsidRPr="00C86CE3">
        <w:rPr>
          <w:rFonts w:ascii="Palatino Linotype" w:hAnsi="Palatino Linotype"/>
        </w:rPr>
        <w:t xml:space="preserve"> En fecha </w:t>
      </w:r>
      <w:r w:rsidR="00E006EC" w:rsidRPr="00C86CE3">
        <w:rPr>
          <w:rFonts w:ascii="Palatino Linotype" w:hAnsi="Palatino Linotype"/>
        </w:rPr>
        <w:t>seis</w:t>
      </w:r>
      <w:r w:rsidRPr="00C86CE3">
        <w:rPr>
          <w:rFonts w:ascii="Palatino Linotype" w:hAnsi="Palatino Linotype"/>
        </w:rPr>
        <w:t xml:space="preserve"> de noviembre de dos mil dieciocho, </w:t>
      </w:r>
      <w:r w:rsidR="00E006EC" w:rsidRPr="00C86CE3">
        <w:rPr>
          <w:rFonts w:ascii="Palatino Linotype" w:hAnsi="Palatino Linotype"/>
          <w:b/>
        </w:rPr>
        <w:t>LA</w:t>
      </w:r>
      <w:r w:rsidR="00A90F1D" w:rsidRPr="00C86CE3">
        <w:rPr>
          <w:rFonts w:ascii="Palatino Linotype" w:hAnsi="Palatino Linotype"/>
          <w:b/>
        </w:rPr>
        <w:t xml:space="preserve"> RECURRENTE</w:t>
      </w:r>
      <w:r w:rsidRPr="00C86CE3">
        <w:rPr>
          <w:rFonts w:ascii="Palatino Linotype" w:hAnsi="Palatino Linotype"/>
        </w:rPr>
        <w:t xml:space="preserve"> presentó a través del </w:t>
      </w:r>
      <w:r w:rsidRPr="00C86CE3">
        <w:rPr>
          <w:rFonts w:ascii="Palatino Linotype" w:hAnsi="Palatino Linotype" w:cs="Arial"/>
        </w:rPr>
        <w:t>Sistema</w:t>
      </w:r>
      <w:r w:rsidRPr="00C86CE3">
        <w:rPr>
          <w:rFonts w:ascii="Palatino Linotype" w:hAnsi="Palatino Linotype"/>
        </w:rPr>
        <w:t xml:space="preserve"> de </w:t>
      </w:r>
      <w:r w:rsidRPr="00C86CE3">
        <w:rPr>
          <w:rFonts w:ascii="Palatino Linotype" w:hAnsi="Palatino Linotype" w:cs="Arial"/>
        </w:rPr>
        <w:t>Acceso</w:t>
      </w:r>
      <w:r w:rsidRPr="00C86CE3">
        <w:rPr>
          <w:rFonts w:ascii="Palatino Linotype" w:hAnsi="Palatino Linotype"/>
        </w:rPr>
        <w:t xml:space="preserve"> a la Información Mexiquense, en lo subsecuente </w:t>
      </w:r>
      <w:r w:rsidRPr="00C86CE3">
        <w:rPr>
          <w:rFonts w:ascii="Palatino Linotype" w:hAnsi="Palatino Linotype"/>
          <w:b/>
        </w:rPr>
        <w:t>EL SAIMEX</w:t>
      </w:r>
      <w:r w:rsidRPr="00C86CE3">
        <w:rPr>
          <w:rFonts w:ascii="Palatino Linotype" w:hAnsi="Palatino Linotype"/>
        </w:rPr>
        <w:t xml:space="preserve"> ante </w:t>
      </w:r>
      <w:r w:rsidRPr="00C86CE3">
        <w:rPr>
          <w:rFonts w:ascii="Palatino Linotype" w:hAnsi="Palatino Linotype"/>
          <w:b/>
        </w:rPr>
        <w:t>EL SUJETO OBLIGADO</w:t>
      </w:r>
      <w:r w:rsidRPr="00C86CE3">
        <w:rPr>
          <w:rFonts w:ascii="Palatino Linotype" w:hAnsi="Palatino Linotype"/>
        </w:rPr>
        <w:t xml:space="preserve">, la solicitud de acceso a la información pública, a la que se le asignó el número </w:t>
      </w:r>
      <w:r w:rsidR="00E006EC" w:rsidRPr="00C86CE3">
        <w:rPr>
          <w:rFonts w:ascii="Palatino Linotype" w:hAnsi="Palatino Linotype"/>
          <w:b/>
          <w:bCs/>
        </w:rPr>
        <w:t>00018</w:t>
      </w:r>
      <w:r w:rsidRPr="00C86CE3">
        <w:rPr>
          <w:rFonts w:ascii="Palatino Linotype" w:hAnsi="Palatino Linotype"/>
          <w:b/>
          <w:bCs/>
        </w:rPr>
        <w:t>/</w:t>
      </w:r>
      <w:r w:rsidR="00E006EC" w:rsidRPr="00C86CE3">
        <w:rPr>
          <w:rFonts w:ascii="Palatino Linotype" w:hAnsi="Palatino Linotype"/>
          <w:b/>
          <w:bCs/>
        </w:rPr>
        <w:t>OASHUIXQUI</w:t>
      </w:r>
      <w:r w:rsidRPr="00C86CE3">
        <w:rPr>
          <w:rFonts w:ascii="Palatino Linotype" w:hAnsi="Palatino Linotype"/>
          <w:b/>
          <w:bCs/>
        </w:rPr>
        <w:t>/IP/2018</w:t>
      </w:r>
      <w:r w:rsidRPr="00C86CE3">
        <w:rPr>
          <w:rFonts w:ascii="Palatino Linotype" w:hAnsi="Palatino Linotype"/>
        </w:rPr>
        <w:t>, mediante la cual solicitó:</w:t>
      </w:r>
    </w:p>
    <w:p w:rsidR="0041633D" w:rsidRPr="00C86CE3" w:rsidRDefault="0041633D" w:rsidP="00E006EC">
      <w:pPr>
        <w:spacing w:before="100" w:beforeAutospacing="1" w:after="100" w:afterAutospacing="1"/>
        <w:ind w:left="709" w:right="709"/>
        <w:jc w:val="both"/>
        <w:rPr>
          <w:rFonts w:ascii="Palatino Linotype" w:hAnsi="Palatino Linotype" w:cs="Arial"/>
          <w:i/>
          <w:sz w:val="22"/>
          <w:szCs w:val="22"/>
        </w:rPr>
      </w:pPr>
      <w:r w:rsidRPr="00C86CE3">
        <w:rPr>
          <w:rFonts w:ascii="Palatino Linotype" w:hAnsi="Palatino Linotype" w:cs="Arial"/>
          <w:i/>
          <w:sz w:val="22"/>
          <w:szCs w:val="22"/>
        </w:rPr>
        <w:lastRenderedPageBreak/>
        <w:t>“</w:t>
      </w:r>
      <w:r w:rsidR="00E006EC" w:rsidRPr="00C86CE3">
        <w:rPr>
          <w:rFonts w:ascii="Palatino Linotype" w:hAnsi="Palatino Linotype" w:cs="Arial"/>
          <w:i/>
          <w:sz w:val="22"/>
          <w:szCs w:val="22"/>
        </w:rPr>
        <w:t>Solicito relación de tapas de registro, tapas de alcantarilla y/o similares que ha adquirido durante los años 2016, 2017 y 2018, con el precio unitario de cada tapa de registro con iva incluido, nombre de proveedor y domicilio donde se instalo cada tapa de registro! la solicitud es clara y precisas!</w:t>
      </w:r>
      <w:r w:rsidRPr="00C86CE3">
        <w:rPr>
          <w:rFonts w:ascii="Palatino Linotype" w:hAnsi="Palatino Linotype" w:cs="Arial"/>
          <w:i/>
          <w:sz w:val="22"/>
          <w:szCs w:val="22"/>
        </w:rPr>
        <w:t xml:space="preserve">.” </w:t>
      </w:r>
      <w:r w:rsidRPr="00C86CE3">
        <w:rPr>
          <w:rFonts w:ascii="Palatino Linotype" w:hAnsi="Palatino Linotype"/>
          <w:sz w:val="22"/>
          <w:szCs w:val="22"/>
        </w:rPr>
        <w:t>(Sic).</w:t>
      </w:r>
    </w:p>
    <w:p w:rsidR="0041633D" w:rsidRPr="00C86CE3" w:rsidRDefault="0041633D" w:rsidP="0041633D">
      <w:pPr>
        <w:pStyle w:val="Prrafodelista"/>
        <w:tabs>
          <w:tab w:val="left" w:pos="567"/>
        </w:tabs>
        <w:spacing w:before="100" w:beforeAutospacing="1" w:after="100" w:afterAutospacing="1" w:line="360" w:lineRule="auto"/>
        <w:ind w:left="0"/>
        <w:jc w:val="both"/>
        <w:rPr>
          <w:rFonts w:ascii="Palatino Linotype" w:hAnsi="Palatino Linotype"/>
        </w:rPr>
      </w:pPr>
      <w:r w:rsidRPr="00C86CE3">
        <w:rPr>
          <w:rFonts w:ascii="Palatino Linotype" w:hAnsi="Palatino Linotype"/>
        </w:rPr>
        <w:t xml:space="preserve">Modalidad de entrega: </w:t>
      </w:r>
      <w:r w:rsidRPr="00C86CE3">
        <w:rPr>
          <w:rFonts w:ascii="Palatino Linotype" w:hAnsi="Palatino Linotype"/>
          <w:b/>
        </w:rPr>
        <w:t>Vía SAIMEX</w:t>
      </w:r>
    </w:p>
    <w:p w:rsidR="0041633D" w:rsidRPr="00C86CE3" w:rsidRDefault="0041633D" w:rsidP="0041633D">
      <w:pPr>
        <w:pStyle w:val="Prrafodelista"/>
        <w:tabs>
          <w:tab w:val="left" w:pos="567"/>
        </w:tabs>
        <w:spacing w:before="100" w:beforeAutospacing="1" w:after="100" w:afterAutospacing="1" w:line="360" w:lineRule="auto"/>
        <w:ind w:left="0"/>
        <w:jc w:val="both"/>
        <w:rPr>
          <w:rFonts w:ascii="Palatino Linotype" w:hAnsi="Palatino Linotype"/>
        </w:rPr>
      </w:pPr>
      <w:r w:rsidRPr="00C86CE3">
        <w:rPr>
          <w:rFonts w:ascii="Palatino Linotype" w:hAnsi="Palatino Linotype"/>
          <w:b/>
          <w:sz w:val="28"/>
          <w:szCs w:val="28"/>
        </w:rPr>
        <w:t>II.</w:t>
      </w:r>
      <w:r w:rsidRPr="00C86CE3">
        <w:rPr>
          <w:rFonts w:ascii="Palatino Linotype" w:hAnsi="Palatino Linotype"/>
        </w:rPr>
        <w:t xml:space="preserve"> Con base en el detalle de seguimiento del</w:t>
      </w:r>
      <w:r w:rsidRPr="00C86CE3">
        <w:rPr>
          <w:rFonts w:ascii="Palatino Linotype" w:hAnsi="Palatino Linotype"/>
          <w:b/>
        </w:rPr>
        <w:t xml:space="preserve"> SAIMEX</w:t>
      </w:r>
      <w:r w:rsidRPr="00C86CE3">
        <w:rPr>
          <w:rFonts w:ascii="Palatino Linotype" w:hAnsi="Palatino Linotype"/>
        </w:rPr>
        <w:t xml:space="preserve">, se advierte que en fecha </w:t>
      </w:r>
      <w:r w:rsidR="00E006EC" w:rsidRPr="00C86CE3">
        <w:rPr>
          <w:rFonts w:ascii="Palatino Linotype" w:hAnsi="Palatino Linotype"/>
        </w:rPr>
        <w:t xml:space="preserve">siete </w:t>
      </w:r>
      <w:r w:rsidRPr="00C86CE3">
        <w:rPr>
          <w:rFonts w:ascii="Palatino Linotype" w:hAnsi="Palatino Linotype"/>
        </w:rPr>
        <w:t>de noviembre de dos mil dieciocho, la Unidad de Transparencia del</w:t>
      </w:r>
      <w:r w:rsidRPr="00C86CE3">
        <w:rPr>
          <w:rFonts w:ascii="Palatino Linotype" w:hAnsi="Palatino Linotype"/>
          <w:b/>
        </w:rPr>
        <w:t xml:space="preserve"> SUJETO OBLIGADO </w:t>
      </w:r>
      <w:r w:rsidRPr="00C86CE3">
        <w:rPr>
          <w:rFonts w:ascii="Palatino Linotype" w:hAnsi="Palatino Linotype"/>
        </w:rPr>
        <w:t xml:space="preserve">turnó mediante requerimiento, el contenido de la solicitud de información al Servidor Público Habilitado, que consideró competente a efecto de que realizara la búsqueda y localización de la información tal y como se desprende de la imagen siguiente: </w:t>
      </w:r>
    </w:p>
    <w:p w:rsidR="0041633D" w:rsidRPr="00C86CE3" w:rsidRDefault="00E006EC" w:rsidP="0041633D">
      <w:pPr>
        <w:pStyle w:val="Prrafodelista"/>
        <w:tabs>
          <w:tab w:val="left" w:pos="567"/>
        </w:tabs>
        <w:spacing w:before="100" w:beforeAutospacing="1" w:after="100" w:afterAutospacing="1" w:line="360" w:lineRule="auto"/>
        <w:ind w:left="0"/>
        <w:jc w:val="center"/>
        <w:rPr>
          <w:rFonts w:ascii="Palatino Linotype" w:hAnsi="Palatino Linotype"/>
        </w:rPr>
      </w:pPr>
      <w:r w:rsidRPr="00C86CE3">
        <w:rPr>
          <w:noProof/>
          <w:lang w:eastAsia="es-MX"/>
        </w:rPr>
        <w:drawing>
          <wp:inline distT="0" distB="0" distL="0" distR="0" wp14:anchorId="140C3935" wp14:editId="31AA02EE">
            <wp:extent cx="5177976" cy="718835"/>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12" t="40718" r="18871" b="43704"/>
                    <a:stretch/>
                  </pic:blipFill>
                  <pic:spPr bwMode="auto">
                    <a:xfrm>
                      <a:off x="0" y="0"/>
                      <a:ext cx="5262114" cy="730516"/>
                    </a:xfrm>
                    <a:prstGeom prst="rect">
                      <a:avLst/>
                    </a:prstGeom>
                    <a:ln>
                      <a:noFill/>
                    </a:ln>
                    <a:extLst>
                      <a:ext uri="{53640926-AAD7-44D8-BBD7-CCE9431645EC}">
                        <a14:shadowObscured xmlns:a14="http://schemas.microsoft.com/office/drawing/2010/main"/>
                      </a:ext>
                    </a:extLst>
                  </pic:spPr>
                </pic:pic>
              </a:graphicData>
            </a:graphic>
          </wp:inline>
        </w:drawing>
      </w:r>
    </w:p>
    <w:p w:rsidR="00E006EC" w:rsidRPr="00C86CE3" w:rsidRDefault="0041633D" w:rsidP="0041633D">
      <w:pPr>
        <w:pStyle w:val="Prrafodelista"/>
        <w:tabs>
          <w:tab w:val="left" w:pos="567"/>
        </w:tabs>
        <w:spacing w:before="100" w:beforeAutospacing="1" w:after="100" w:afterAutospacing="1" w:line="360" w:lineRule="auto"/>
        <w:ind w:left="0"/>
        <w:jc w:val="both"/>
        <w:rPr>
          <w:rFonts w:ascii="Palatino Linotype" w:hAnsi="Palatino Linotype" w:cs="Arial"/>
        </w:rPr>
      </w:pPr>
      <w:r w:rsidRPr="00C86CE3">
        <w:rPr>
          <w:rFonts w:ascii="Palatino Linotype" w:hAnsi="Palatino Linotype" w:cs="Arial"/>
          <w:b/>
          <w:sz w:val="28"/>
          <w:szCs w:val="20"/>
        </w:rPr>
        <w:t>III.</w:t>
      </w:r>
      <w:r w:rsidRPr="00C86CE3">
        <w:rPr>
          <w:rFonts w:ascii="Palatino Linotype" w:hAnsi="Palatino Linotype" w:cs="Arial"/>
          <w:szCs w:val="20"/>
        </w:rPr>
        <w:t xml:space="preserve"> De las constancias que obran en el expediente electrónico del </w:t>
      </w:r>
      <w:r w:rsidRPr="00C86CE3">
        <w:rPr>
          <w:rFonts w:ascii="Palatino Linotype" w:hAnsi="Palatino Linotype" w:cs="Arial"/>
          <w:b/>
          <w:szCs w:val="20"/>
        </w:rPr>
        <w:t>SAIMEX</w:t>
      </w:r>
      <w:r w:rsidRPr="00C86CE3">
        <w:rPr>
          <w:rFonts w:ascii="Palatino Linotype" w:hAnsi="Palatino Linotype" w:cs="Arial"/>
          <w:szCs w:val="20"/>
        </w:rPr>
        <w:t xml:space="preserve">, se advierte </w:t>
      </w:r>
      <w:r w:rsidRPr="00C86CE3">
        <w:rPr>
          <w:rFonts w:ascii="Palatino Linotype" w:hAnsi="Palatino Linotype"/>
        </w:rPr>
        <w:t>que</w:t>
      </w:r>
      <w:r w:rsidRPr="00C86CE3">
        <w:rPr>
          <w:rFonts w:ascii="Palatino Linotype" w:hAnsi="Palatino Linotype" w:cs="Arial"/>
        </w:rPr>
        <w:t xml:space="preserve"> en fecha </w:t>
      </w:r>
      <w:r w:rsidR="00E006EC" w:rsidRPr="00C86CE3">
        <w:rPr>
          <w:rFonts w:ascii="Palatino Linotype" w:hAnsi="Palatino Linotype" w:cs="Arial"/>
        </w:rPr>
        <w:t>doce</w:t>
      </w:r>
      <w:r w:rsidRPr="00C86CE3">
        <w:rPr>
          <w:rFonts w:ascii="Palatino Linotype" w:hAnsi="Palatino Linotype" w:cs="Arial"/>
        </w:rPr>
        <w:t xml:space="preserve"> de noviembre </w:t>
      </w:r>
      <w:r w:rsidRPr="00C86CE3">
        <w:rPr>
          <w:rFonts w:ascii="Palatino Linotype" w:hAnsi="Palatino Linotype"/>
        </w:rPr>
        <w:t>de dos mil dieciocho,</w:t>
      </w:r>
      <w:r w:rsidRPr="00C86CE3">
        <w:rPr>
          <w:rFonts w:ascii="Palatino Linotype" w:hAnsi="Palatino Linotype" w:cs="Arial"/>
        </w:rPr>
        <w:t xml:space="preserve"> </w:t>
      </w:r>
      <w:r w:rsidRPr="00C86CE3">
        <w:rPr>
          <w:rFonts w:ascii="Palatino Linotype" w:hAnsi="Palatino Linotype" w:cs="Arial"/>
          <w:b/>
        </w:rPr>
        <w:t>EL SUJETO OBLIGADO</w:t>
      </w:r>
      <w:r w:rsidRPr="00C86CE3">
        <w:rPr>
          <w:rFonts w:ascii="Palatino Linotype" w:hAnsi="Palatino Linotype" w:cs="Arial"/>
        </w:rPr>
        <w:t xml:space="preserve"> </w:t>
      </w:r>
      <w:r w:rsidR="00E006EC" w:rsidRPr="00C86CE3">
        <w:rPr>
          <w:rFonts w:ascii="Palatino Linotype" w:hAnsi="Palatino Linotype" w:cs="Arial"/>
        </w:rPr>
        <w:t xml:space="preserve">en términos del artículo 159 de la Ley de Transparencia y Acceso a la Información Pública del Estado de México y Municipios, requirió a </w:t>
      </w:r>
      <w:r w:rsidR="00E006EC" w:rsidRPr="00C86CE3">
        <w:rPr>
          <w:rFonts w:ascii="Palatino Linotype" w:hAnsi="Palatino Linotype" w:cs="Arial"/>
          <w:b/>
        </w:rPr>
        <w:t>LA</w:t>
      </w:r>
      <w:r w:rsidR="00A90F1D" w:rsidRPr="00C86CE3">
        <w:rPr>
          <w:rFonts w:ascii="Palatino Linotype" w:hAnsi="Palatino Linotype" w:cs="Arial"/>
          <w:b/>
        </w:rPr>
        <w:t xml:space="preserve"> RECURRENTE</w:t>
      </w:r>
      <w:r w:rsidR="00E006EC" w:rsidRPr="00C86CE3">
        <w:rPr>
          <w:rFonts w:ascii="Palatino Linotype" w:hAnsi="Palatino Linotype" w:cs="Arial"/>
          <w:b/>
        </w:rPr>
        <w:t xml:space="preserve"> </w:t>
      </w:r>
      <w:r w:rsidR="00E006EC" w:rsidRPr="00C86CE3">
        <w:rPr>
          <w:rFonts w:ascii="Palatino Linotype" w:hAnsi="Palatino Linotype" w:cs="Arial"/>
        </w:rPr>
        <w:t>para que dentro del plazo de diez días hábiles aclarara su solicitud de información</w:t>
      </w:r>
      <w:r w:rsidR="00781220" w:rsidRPr="00C86CE3">
        <w:rPr>
          <w:rFonts w:ascii="Palatino Linotype" w:hAnsi="Palatino Linotype" w:cs="Arial"/>
        </w:rPr>
        <w:t>,</w:t>
      </w:r>
      <w:r w:rsidR="00E006EC" w:rsidRPr="00C86CE3">
        <w:rPr>
          <w:rFonts w:ascii="Palatino Linotype" w:hAnsi="Palatino Linotype" w:cs="Arial"/>
        </w:rPr>
        <w:t xml:space="preserve"> en cuanto a lo siguiente:</w:t>
      </w:r>
    </w:p>
    <w:p w:rsidR="00E006EC" w:rsidRPr="00C86CE3" w:rsidRDefault="00BF0816" w:rsidP="00E006EC">
      <w:pPr>
        <w:pStyle w:val="Prrafodelista"/>
        <w:tabs>
          <w:tab w:val="left" w:pos="567"/>
        </w:tabs>
        <w:spacing w:before="100" w:beforeAutospacing="1" w:after="100" w:afterAutospacing="1" w:line="360" w:lineRule="auto"/>
        <w:ind w:left="0"/>
        <w:jc w:val="center"/>
        <w:rPr>
          <w:rFonts w:ascii="Palatino Linotype" w:hAnsi="Palatino Linotype" w:cs="Arial"/>
        </w:rPr>
      </w:pPr>
      <w:r w:rsidRPr="00C86CE3">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151398</wp:posOffset>
                </wp:positionH>
                <wp:positionV relativeFrom="paragraph">
                  <wp:posOffset>1087201</wp:posOffset>
                </wp:positionV>
                <wp:extent cx="5496655" cy="1970405"/>
                <wp:effectExtent l="19050" t="19050" r="27940" b="10795"/>
                <wp:wrapNone/>
                <wp:docPr id="4" name="Rectángulo 4"/>
                <wp:cNvGraphicFramePr/>
                <a:graphic xmlns:a="http://schemas.openxmlformats.org/drawingml/2006/main">
                  <a:graphicData uri="http://schemas.microsoft.com/office/word/2010/wordprocessingShape">
                    <wps:wsp>
                      <wps:cNvSpPr/>
                      <wps:spPr>
                        <a:xfrm>
                          <a:off x="0" y="0"/>
                          <a:ext cx="5496655" cy="197040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E9359" id="Rectángulo 4" o:spid="_x0000_s1026" style="position:absolute;margin-left:11.9pt;margin-top:85.6pt;width:432.8pt;height:15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" filled="f" strokecolor="#1f4d78 [1604]" strokeweight="2.25pt"/>
            </w:pict>
          </mc:Fallback>
        </mc:AlternateContent>
      </w:r>
      <w:r w:rsidR="00E006EC" w:rsidRPr="00C86CE3">
        <w:rPr>
          <w:noProof/>
          <w:lang w:eastAsia="es-MX"/>
        </w:rPr>
        <w:drawing>
          <wp:inline distT="0" distB="0" distL="0" distR="0" wp14:anchorId="6D9EE8D1" wp14:editId="24886755">
            <wp:extent cx="5384922" cy="3060333"/>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92" t="18656" r="20696" b="22284"/>
                    <a:stretch/>
                  </pic:blipFill>
                  <pic:spPr bwMode="auto">
                    <a:xfrm>
                      <a:off x="0" y="0"/>
                      <a:ext cx="5423763" cy="3082407"/>
                    </a:xfrm>
                    <a:prstGeom prst="rect">
                      <a:avLst/>
                    </a:prstGeom>
                    <a:ln>
                      <a:noFill/>
                    </a:ln>
                    <a:extLst>
                      <a:ext uri="{53640926-AAD7-44D8-BBD7-CCE9431645EC}">
                        <a14:shadowObscured xmlns:a14="http://schemas.microsoft.com/office/drawing/2010/main"/>
                      </a:ext>
                    </a:extLst>
                  </pic:spPr>
                </pic:pic>
              </a:graphicData>
            </a:graphic>
          </wp:inline>
        </w:drawing>
      </w:r>
    </w:p>
    <w:p w:rsidR="00E006EC" w:rsidRPr="00C86CE3" w:rsidRDefault="00BF0816" w:rsidP="0041633D">
      <w:pPr>
        <w:pStyle w:val="Prrafodelista"/>
        <w:tabs>
          <w:tab w:val="left" w:pos="567"/>
        </w:tabs>
        <w:spacing w:before="100" w:beforeAutospacing="1" w:after="100" w:afterAutospacing="1" w:line="360" w:lineRule="auto"/>
        <w:ind w:left="0"/>
        <w:jc w:val="both"/>
        <w:rPr>
          <w:rFonts w:ascii="Palatino Linotype" w:hAnsi="Palatino Linotype" w:cs="Arial"/>
        </w:rPr>
      </w:pPr>
      <w:r w:rsidRPr="00C86CE3">
        <w:rPr>
          <w:rFonts w:ascii="Palatino Linotype" w:hAnsi="Palatino Linotype" w:cs="Arial"/>
          <w:b/>
          <w:noProof/>
          <w:sz w:val="28"/>
          <w:szCs w:val="20"/>
          <w:lang w:eastAsia="es-MX"/>
        </w:rPr>
        <mc:AlternateContent>
          <mc:Choice Requires="wps">
            <w:drawing>
              <wp:anchor distT="0" distB="0" distL="114300" distR="114300" simplePos="0" relativeHeight="251663360" behindDoc="0" locked="0" layoutInCell="1" allowOverlap="1">
                <wp:simplePos x="0" y="0"/>
                <wp:positionH relativeFrom="column">
                  <wp:posOffset>35116</wp:posOffset>
                </wp:positionH>
                <wp:positionV relativeFrom="paragraph">
                  <wp:posOffset>2448288</wp:posOffset>
                </wp:positionV>
                <wp:extent cx="5745392" cy="602553"/>
                <wp:effectExtent l="0" t="0" r="27305" b="26670"/>
                <wp:wrapNone/>
                <wp:docPr id="7" name="Conector recto 7"/>
                <wp:cNvGraphicFramePr/>
                <a:graphic xmlns:a="http://schemas.openxmlformats.org/drawingml/2006/main">
                  <a:graphicData uri="http://schemas.microsoft.com/office/word/2010/wordprocessingShape">
                    <wps:wsp>
                      <wps:cNvCnPr/>
                      <wps:spPr>
                        <a:xfrm>
                          <a:off x="0" y="0"/>
                          <a:ext cx="5745392" cy="60255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2FB4C4"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pt,192.8pt" to="455.1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" strokecolor="#5b9bd5 [3204]" strokeweight="1pt">
                <v:stroke joinstyle="miter"/>
              </v:line>
            </w:pict>
          </mc:Fallback>
        </mc:AlternateContent>
      </w:r>
      <w:r w:rsidRPr="00C86CE3">
        <w:rPr>
          <w:rFonts w:ascii="Palatino Linotype" w:hAnsi="Palatino Linotype" w:cs="Arial"/>
          <w:b/>
          <w:sz w:val="28"/>
          <w:szCs w:val="20"/>
        </w:rPr>
        <w:t>IV.</w:t>
      </w:r>
      <w:r w:rsidRPr="00C86CE3">
        <w:rPr>
          <w:rFonts w:ascii="Palatino Linotype" w:hAnsi="Palatino Linotype" w:cs="Arial"/>
        </w:rPr>
        <w:t xml:space="preserve"> Con base en el detalle del seguimiento al expediente electrónico en el SAIMEX, se advierte que, en fecha veintiocho de noviembre de dos mil dieciocho, </w:t>
      </w:r>
      <w:r w:rsidRPr="00C86CE3">
        <w:rPr>
          <w:rFonts w:ascii="Palatino Linotype" w:hAnsi="Palatino Linotype" w:cs="Arial"/>
          <w:b/>
        </w:rPr>
        <w:t xml:space="preserve">EL SUJETO OBLIGADO </w:t>
      </w:r>
      <w:r w:rsidRPr="00C86CE3">
        <w:rPr>
          <w:rFonts w:ascii="Palatino Linotype" w:hAnsi="Palatino Linotype" w:cs="Arial"/>
        </w:rPr>
        <w:t xml:space="preserve">tuvo por no presentada la solicitud de información, toda vez que el requerimiento referido en el Resultando que antecede no </w:t>
      </w:r>
      <w:r w:rsidR="00781220" w:rsidRPr="00C86CE3">
        <w:rPr>
          <w:rFonts w:ascii="Palatino Linotype" w:hAnsi="Palatino Linotype" w:cs="Arial"/>
        </w:rPr>
        <w:t>fue atendido por la solicitante;</w:t>
      </w:r>
      <w:r w:rsidRPr="00C86CE3">
        <w:rPr>
          <w:rFonts w:ascii="Palatino Linotype" w:hAnsi="Palatino Linotype" w:cs="Arial"/>
        </w:rPr>
        <w:t xml:space="preserve"> en consecuencia</w:t>
      </w:r>
      <w:r w:rsidR="00781220" w:rsidRPr="00C86CE3">
        <w:rPr>
          <w:rFonts w:ascii="Palatino Linotype" w:hAnsi="Palatino Linotype" w:cs="Arial"/>
        </w:rPr>
        <w:t>,</w:t>
      </w:r>
      <w:r w:rsidRPr="00C86CE3">
        <w:rPr>
          <w:rFonts w:ascii="Palatino Linotype" w:hAnsi="Palatino Linotype" w:cs="Arial"/>
        </w:rPr>
        <w:t xml:space="preserve"> se tuvo por concluida la solicitud de información dejando a salvo sus derechos </w:t>
      </w:r>
      <w:r w:rsidR="00781220" w:rsidRPr="00C86CE3">
        <w:rPr>
          <w:rFonts w:ascii="Palatino Linotype" w:hAnsi="Palatino Linotype" w:cs="Arial"/>
        </w:rPr>
        <w:t>para para volver a presentarla</w:t>
      </w:r>
      <w:r w:rsidRPr="00C86CE3">
        <w:rPr>
          <w:rFonts w:ascii="Palatino Linotype" w:hAnsi="Palatino Linotype" w:cs="Arial"/>
        </w:rPr>
        <w:t xml:space="preserve"> informándole que tenía un plazo de quince días hábiles para interponer el recurso de revisión, </w:t>
      </w:r>
      <w:r w:rsidR="00781220" w:rsidRPr="00C86CE3">
        <w:rPr>
          <w:rFonts w:ascii="Palatino Linotype" w:hAnsi="Palatino Linotype" w:cs="Arial"/>
        </w:rPr>
        <w:t>tal como se advierte de la imagen inserta a continuación:</w:t>
      </w:r>
    </w:p>
    <w:p w:rsidR="00BF0816" w:rsidRDefault="00BF0816" w:rsidP="00BF0816">
      <w:pPr>
        <w:pStyle w:val="Prrafodelista"/>
        <w:tabs>
          <w:tab w:val="left" w:pos="567"/>
        </w:tabs>
        <w:spacing w:before="100" w:beforeAutospacing="1" w:after="100" w:afterAutospacing="1" w:line="360" w:lineRule="auto"/>
        <w:ind w:left="0"/>
        <w:jc w:val="center"/>
        <w:rPr>
          <w:noProof/>
          <w:lang w:eastAsia="es-MX"/>
        </w:rPr>
      </w:pPr>
    </w:p>
    <w:p w:rsidR="001D1514" w:rsidRPr="00C86CE3" w:rsidRDefault="001D1514" w:rsidP="00BF0816">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34D51268" wp14:editId="06273F3D">
            <wp:extent cx="4843727" cy="228006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44" t="38088" r="19318" b="9416"/>
                    <a:stretch/>
                  </pic:blipFill>
                  <pic:spPr bwMode="auto">
                    <a:xfrm>
                      <a:off x="0" y="0"/>
                      <a:ext cx="4874695" cy="2294640"/>
                    </a:xfrm>
                    <a:prstGeom prst="rect">
                      <a:avLst/>
                    </a:prstGeom>
                    <a:ln>
                      <a:noFill/>
                    </a:ln>
                    <a:extLst>
                      <a:ext uri="{53640926-AAD7-44D8-BBD7-CCE9431645EC}">
                        <a14:shadowObscured xmlns:a14="http://schemas.microsoft.com/office/drawing/2010/main"/>
                      </a:ext>
                    </a:extLst>
                  </pic:spPr>
                </pic:pic>
              </a:graphicData>
            </a:graphic>
          </wp:inline>
        </w:drawing>
      </w:r>
    </w:p>
    <w:p w:rsidR="0041633D" w:rsidRPr="00C86CE3" w:rsidRDefault="001425A3" w:rsidP="0041633D">
      <w:pPr>
        <w:pStyle w:val="Prrafodelista"/>
        <w:tabs>
          <w:tab w:val="left" w:pos="567"/>
        </w:tabs>
        <w:spacing w:before="100" w:beforeAutospacing="1" w:after="100" w:afterAutospacing="1" w:line="360" w:lineRule="auto"/>
        <w:ind w:left="0"/>
        <w:jc w:val="both"/>
        <w:rPr>
          <w:rFonts w:ascii="Palatino Linotype" w:hAnsi="Palatino Linotype" w:cs="Arial"/>
        </w:rPr>
      </w:pPr>
      <w:r w:rsidRPr="00C86CE3">
        <w:rPr>
          <w:rFonts w:ascii="Palatino Linotype" w:hAnsi="Palatino Linotype" w:cs="Arial"/>
          <w:b/>
          <w:sz w:val="28"/>
          <w:szCs w:val="20"/>
        </w:rPr>
        <w:t>V.</w:t>
      </w:r>
      <w:r w:rsidR="0041633D" w:rsidRPr="00C86CE3">
        <w:rPr>
          <w:rFonts w:ascii="Palatino Linotype" w:hAnsi="Palatino Linotype" w:cs="Arial"/>
        </w:rPr>
        <w:t xml:space="preserve"> Inconforme</w:t>
      </w:r>
      <w:r w:rsidR="0041633D" w:rsidRPr="00C86CE3">
        <w:rPr>
          <w:rFonts w:ascii="Palatino Linotype" w:hAnsi="Palatino Linotype"/>
        </w:rPr>
        <w:t xml:space="preserve"> con la </w:t>
      </w:r>
      <w:r w:rsidRPr="00C86CE3">
        <w:rPr>
          <w:rFonts w:ascii="Palatino Linotype" w:hAnsi="Palatino Linotype"/>
        </w:rPr>
        <w:t xml:space="preserve">determinación del </w:t>
      </w:r>
      <w:r w:rsidR="0041633D" w:rsidRPr="00C86CE3">
        <w:rPr>
          <w:rFonts w:ascii="Palatino Linotype" w:hAnsi="Palatino Linotype"/>
          <w:b/>
        </w:rPr>
        <w:t>SUJETO OBLIGADO</w:t>
      </w:r>
      <w:r w:rsidR="0041633D" w:rsidRPr="00C86CE3">
        <w:rPr>
          <w:rFonts w:ascii="Palatino Linotype" w:hAnsi="Palatino Linotype"/>
        </w:rPr>
        <w:t xml:space="preserve">, el </w:t>
      </w:r>
      <w:r w:rsidRPr="00C86CE3">
        <w:rPr>
          <w:rFonts w:ascii="Palatino Linotype" w:hAnsi="Palatino Linotype"/>
        </w:rPr>
        <w:t xml:space="preserve">siete de diciembre </w:t>
      </w:r>
      <w:r w:rsidR="0041633D" w:rsidRPr="00C86CE3">
        <w:rPr>
          <w:rFonts w:ascii="Palatino Linotype" w:hAnsi="Palatino Linotype"/>
        </w:rPr>
        <w:t xml:space="preserve">de dos mil dieciocho, </w:t>
      </w:r>
      <w:r w:rsidRPr="00C86CE3">
        <w:rPr>
          <w:rFonts w:ascii="Palatino Linotype" w:hAnsi="Palatino Linotype"/>
          <w:b/>
        </w:rPr>
        <w:t>LA</w:t>
      </w:r>
      <w:r w:rsidR="00A90F1D" w:rsidRPr="00C86CE3">
        <w:rPr>
          <w:rFonts w:ascii="Palatino Linotype" w:hAnsi="Palatino Linotype"/>
          <w:b/>
        </w:rPr>
        <w:t xml:space="preserve"> RECURRENTE</w:t>
      </w:r>
      <w:r w:rsidR="0041633D" w:rsidRPr="00C86CE3">
        <w:rPr>
          <w:rFonts w:ascii="Palatino Linotype" w:hAnsi="Palatino Linotype"/>
        </w:rPr>
        <w:t xml:space="preserve"> mediante </w:t>
      </w:r>
      <w:r w:rsidR="0041633D" w:rsidRPr="00C86CE3">
        <w:rPr>
          <w:rFonts w:ascii="Palatino Linotype" w:hAnsi="Palatino Linotype"/>
          <w:b/>
        </w:rPr>
        <w:t xml:space="preserve">EL SAIMEX </w:t>
      </w:r>
      <w:r w:rsidR="0041633D" w:rsidRPr="00C86CE3">
        <w:rPr>
          <w:rFonts w:ascii="Palatino Linotype" w:hAnsi="Palatino Linotype"/>
        </w:rPr>
        <w:t xml:space="preserve">interpuso el recurso de revisión objeto del </w:t>
      </w:r>
      <w:r w:rsidR="0041633D" w:rsidRPr="00C86CE3">
        <w:rPr>
          <w:rFonts w:ascii="Palatino Linotype" w:hAnsi="Palatino Linotype" w:cs="Arial"/>
        </w:rPr>
        <w:t>presente</w:t>
      </w:r>
      <w:r w:rsidR="0041633D" w:rsidRPr="00C86CE3">
        <w:rPr>
          <w:rFonts w:ascii="Palatino Linotype" w:hAnsi="Palatino Linotype"/>
        </w:rPr>
        <w:t xml:space="preserve"> estudio, al que se le asignó el </w:t>
      </w:r>
      <w:r w:rsidR="0041633D" w:rsidRPr="00C86CE3">
        <w:rPr>
          <w:rFonts w:ascii="Palatino Linotype" w:hAnsi="Palatino Linotype" w:cs="Arial"/>
        </w:rPr>
        <w:t xml:space="preserve">número </w:t>
      </w:r>
      <w:r w:rsidR="003809BB" w:rsidRPr="00C86CE3">
        <w:rPr>
          <w:rFonts w:ascii="Palatino Linotype" w:hAnsi="Palatino Linotype" w:cs="Arial"/>
          <w:b/>
          <w:bCs/>
          <w:lang w:val="es-ES_tradnl"/>
        </w:rPr>
        <w:t>04632</w:t>
      </w:r>
      <w:r w:rsidR="0041633D" w:rsidRPr="00C86CE3">
        <w:rPr>
          <w:rFonts w:ascii="Palatino Linotype" w:hAnsi="Palatino Linotype" w:cs="Arial"/>
          <w:b/>
          <w:bCs/>
          <w:lang w:val="es-ES_tradnl"/>
        </w:rPr>
        <w:t>/INFOEM/IP/RR/2018</w:t>
      </w:r>
      <w:r w:rsidR="0041633D" w:rsidRPr="00C86CE3">
        <w:rPr>
          <w:rFonts w:ascii="Palatino Linotype" w:hAnsi="Palatino Linotype" w:cs="Arial"/>
        </w:rPr>
        <w:t>, en el que señaló como acto impugnado, lo siguiente:</w:t>
      </w:r>
    </w:p>
    <w:p w:rsidR="0041633D" w:rsidRPr="00C86CE3" w:rsidRDefault="0041633D" w:rsidP="003809BB">
      <w:pPr>
        <w:spacing w:before="100" w:beforeAutospacing="1" w:after="100" w:afterAutospacing="1"/>
        <w:ind w:left="709" w:right="709"/>
        <w:jc w:val="both"/>
        <w:rPr>
          <w:rFonts w:ascii="Palatino Linotype" w:hAnsi="Palatino Linotype" w:cs="Arial"/>
          <w:i/>
          <w:sz w:val="22"/>
          <w:szCs w:val="22"/>
        </w:rPr>
      </w:pPr>
      <w:r w:rsidRPr="00C86CE3">
        <w:rPr>
          <w:rFonts w:ascii="Palatino Linotype" w:hAnsi="Palatino Linotype" w:cs="Arial"/>
          <w:i/>
          <w:sz w:val="22"/>
          <w:szCs w:val="22"/>
        </w:rPr>
        <w:t>“</w:t>
      </w:r>
      <w:r w:rsidR="003809BB" w:rsidRPr="00C86CE3">
        <w:rPr>
          <w:rFonts w:ascii="Palatino Linotype" w:hAnsi="Palatino Linotype" w:cs="Arial"/>
          <w:i/>
          <w:sz w:val="22"/>
          <w:szCs w:val="22"/>
        </w:rPr>
        <w:t>la solicitud es clara y precisa, el sujeto obligado se niega a transparentar la información!</w:t>
      </w:r>
      <w:r w:rsidRPr="00C86CE3">
        <w:rPr>
          <w:rFonts w:ascii="Palatino Linotype" w:hAnsi="Palatino Linotype" w:cs="Arial"/>
          <w:i/>
          <w:sz w:val="22"/>
          <w:szCs w:val="22"/>
        </w:rPr>
        <w:t>.</w:t>
      </w:r>
      <w:r w:rsidRPr="00C86CE3">
        <w:rPr>
          <w:rFonts w:ascii="Palatino Linotype" w:hAnsi="Palatino Linotype" w:cs="Arial"/>
          <w:i/>
          <w:sz w:val="22"/>
          <w:szCs w:val="22"/>
          <w:lang w:eastAsia="es-MX"/>
        </w:rPr>
        <w:t xml:space="preserve">” </w:t>
      </w:r>
      <w:r w:rsidRPr="00C86CE3">
        <w:rPr>
          <w:rFonts w:ascii="Palatino Linotype" w:hAnsi="Palatino Linotype" w:cs="Arial"/>
          <w:i/>
          <w:sz w:val="22"/>
          <w:szCs w:val="22"/>
        </w:rPr>
        <w:t>(Sic)</w:t>
      </w:r>
    </w:p>
    <w:p w:rsidR="0041633D" w:rsidRPr="00C86CE3" w:rsidRDefault="0041633D" w:rsidP="0041633D">
      <w:pPr>
        <w:pStyle w:val="Prrafodelista"/>
        <w:spacing w:before="100" w:beforeAutospacing="1" w:after="100" w:afterAutospacing="1" w:line="360" w:lineRule="auto"/>
        <w:ind w:left="0"/>
        <w:jc w:val="both"/>
        <w:rPr>
          <w:rFonts w:ascii="Palatino Linotype" w:hAnsi="Palatino Linotype"/>
        </w:rPr>
      </w:pPr>
      <w:r w:rsidRPr="00C86CE3">
        <w:rPr>
          <w:rFonts w:ascii="Palatino Linotype" w:hAnsi="Palatino Linotype" w:cs="Arial"/>
        </w:rPr>
        <w:t>Asimismo</w:t>
      </w:r>
      <w:r w:rsidRPr="00C86CE3">
        <w:rPr>
          <w:rFonts w:ascii="Palatino Linotype" w:hAnsi="Palatino Linotype"/>
        </w:rPr>
        <w:t xml:space="preserve">, </w:t>
      </w:r>
      <w:r w:rsidR="003809BB" w:rsidRPr="00C86CE3">
        <w:rPr>
          <w:rFonts w:ascii="Palatino Linotype" w:hAnsi="Palatino Linotype" w:cs="Arial"/>
          <w:b/>
        </w:rPr>
        <w:t>LA</w:t>
      </w:r>
      <w:r w:rsidR="00A90F1D" w:rsidRPr="00C86CE3">
        <w:rPr>
          <w:rFonts w:ascii="Palatino Linotype" w:hAnsi="Palatino Linotype" w:cs="Arial"/>
          <w:b/>
        </w:rPr>
        <w:t xml:space="preserve"> RECURRENTE</w:t>
      </w:r>
      <w:r w:rsidRPr="00C86CE3">
        <w:rPr>
          <w:rFonts w:ascii="Palatino Linotype" w:hAnsi="Palatino Linotype"/>
        </w:rPr>
        <w:t xml:space="preserve"> indicó como razones o motivos de inconformidad: </w:t>
      </w:r>
    </w:p>
    <w:p w:rsidR="0041633D" w:rsidRPr="00C86CE3" w:rsidRDefault="0041633D" w:rsidP="003809BB">
      <w:pPr>
        <w:spacing w:before="100" w:beforeAutospacing="1" w:after="100" w:afterAutospacing="1"/>
        <w:ind w:left="709" w:right="709"/>
        <w:jc w:val="both"/>
        <w:rPr>
          <w:rFonts w:ascii="Palatino Linotype" w:hAnsi="Palatino Linotype" w:cs="Arial"/>
          <w:i/>
          <w:sz w:val="22"/>
          <w:szCs w:val="22"/>
          <w:lang w:eastAsia="es-MX"/>
        </w:rPr>
      </w:pPr>
      <w:r w:rsidRPr="00C86CE3">
        <w:rPr>
          <w:rFonts w:ascii="Palatino Linotype" w:hAnsi="Palatino Linotype" w:cs="Arial"/>
          <w:i/>
          <w:sz w:val="22"/>
          <w:szCs w:val="22"/>
          <w:lang w:eastAsia="es-MX"/>
        </w:rPr>
        <w:t>“</w:t>
      </w:r>
      <w:r w:rsidR="003809BB" w:rsidRPr="00C86CE3">
        <w:rPr>
          <w:rFonts w:ascii="Palatino Linotype" w:hAnsi="Palatino Linotype" w:cs="Arial"/>
          <w:i/>
          <w:sz w:val="22"/>
          <w:szCs w:val="22"/>
          <w:lang w:eastAsia="es-MX"/>
        </w:rPr>
        <w:t>el sujeto obligado se niega a transparentar la informacion, siendo lo suficiente clara la solicitud en Español</w:t>
      </w:r>
      <w:r w:rsidRPr="00C86CE3">
        <w:rPr>
          <w:rFonts w:ascii="Palatino Linotype" w:hAnsi="Palatino Linotype" w:cs="Arial"/>
          <w:i/>
          <w:sz w:val="22"/>
          <w:szCs w:val="22"/>
          <w:lang w:eastAsia="es-MX"/>
        </w:rPr>
        <w:t>.” (Sic)</w:t>
      </w:r>
    </w:p>
    <w:p w:rsidR="0041633D" w:rsidRPr="00C86CE3" w:rsidRDefault="0041633D" w:rsidP="0041633D">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C86CE3">
        <w:rPr>
          <w:rFonts w:ascii="Palatino Linotype" w:hAnsi="Palatino Linotype" w:cs="Arial"/>
          <w:b/>
          <w:sz w:val="28"/>
          <w:szCs w:val="28"/>
        </w:rPr>
        <w:t>V</w:t>
      </w:r>
      <w:r w:rsidR="003809BB" w:rsidRPr="00C86CE3">
        <w:rPr>
          <w:rFonts w:ascii="Palatino Linotype" w:hAnsi="Palatino Linotype" w:cs="Arial"/>
          <w:b/>
          <w:sz w:val="28"/>
          <w:szCs w:val="28"/>
        </w:rPr>
        <w:t>I</w:t>
      </w:r>
      <w:r w:rsidRPr="00C86CE3">
        <w:rPr>
          <w:rFonts w:ascii="Palatino Linotype" w:hAnsi="Palatino Linotype" w:cs="Arial"/>
          <w:b/>
          <w:sz w:val="28"/>
          <w:szCs w:val="28"/>
        </w:rPr>
        <w:t>.</w:t>
      </w:r>
      <w:r w:rsidRPr="00C86CE3">
        <w:rPr>
          <w:rFonts w:ascii="Palatino Linotype" w:hAnsi="Palatino Linotype" w:cs="Arial"/>
        </w:rPr>
        <w:t xml:space="preserve"> En fecha </w:t>
      </w:r>
      <w:r w:rsidR="003809BB" w:rsidRPr="00C86CE3">
        <w:rPr>
          <w:rFonts w:ascii="Palatino Linotype" w:hAnsi="Palatino Linotype" w:cs="Arial"/>
        </w:rPr>
        <w:t>siete de diciembre d</w:t>
      </w:r>
      <w:r w:rsidRPr="00C86CE3">
        <w:rPr>
          <w:rFonts w:ascii="Palatino Linotype" w:hAnsi="Palatino Linotype"/>
        </w:rPr>
        <w:t>e dos mil dieciocho, el</w:t>
      </w:r>
      <w:r w:rsidRPr="00C86CE3">
        <w:rPr>
          <w:rFonts w:ascii="Palatino Linotype" w:hAnsi="Palatino Linotype" w:cs="Arial"/>
        </w:rPr>
        <w:t xml:space="preserve"> </w:t>
      </w:r>
      <w:r w:rsidRPr="00C86CE3">
        <w:rPr>
          <w:rFonts w:ascii="Palatino Linotype" w:hAnsi="Palatino Linotype" w:cs="Arial"/>
          <w:lang w:val="es-ES_tradnl"/>
        </w:rPr>
        <w:t>recurso de que</w:t>
      </w:r>
      <w:r w:rsidRPr="00C86CE3">
        <w:rPr>
          <w:rFonts w:ascii="Palatino Linotype" w:hAnsi="Palatino Linotype" w:cs="Arial"/>
        </w:rPr>
        <w:t xml:space="preserve"> se trata</w:t>
      </w:r>
      <w:r w:rsidRPr="00C86CE3">
        <w:rPr>
          <w:rFonts w:ascii="Palatino Linotype" w:hAnsi="Palatino Linotype" w:cs="Arial"/>
          <w:lang w:val="es-ES_tradnl"/>
        </w:rPr>
        <w:t xml:space="preserve"> se envió </w:t>
      </w:r>
      <w:r w:rsidRPr="00C86CE3">
        <w:rPr>
          <w:rFonts w:ascii="Palatino Linotype" w:hAnsi="Palatino Linotype"/>
        </w:rPr>
        <w:t>electrónicamente</w:t>
      </w:r>
      <w:r w:rsidRPr="00C86CE3">
        <w:rPr>
          <w:rFonts w:ascii="Palatino Linotype" w:hAnsi="Palatino Linotype" w:cs="Arial"/>
          <w:lang w:val="es-ES_tradnl"/>
        </w:rPr>
        <w:t xml:space="preserve"> </w:t>
      </w:r>
      <w:r w:rsidRPr="00C86CE3">
        <w:rPr>
          <w:rFonts w:ascii="Palatino Linotype" w:hAnsi="Palatino Linotype" w:cs="Arial"/>
        </w:rPr>
        <w:t>al</w:t>
      </w:r>
      <w:r w:rsidRPr="00C86CE3">
        <w:rPr>
          <w:rFonts w:ascii="Palatino Linotype" w:hAnsi="Palatino Linotype" w:cs="Arial"/>
          <w:lang w:val="es-ES_tradnl"/>
        </w:rPr>
        <w:t xml:space="preserve"> </w:t>
      </w:r>
      <w:r w:rsidRPr="00C86CE3">
        <w:rPr>
          <w:rFonts w:ascii="Palatino Linotype" w:hAnsi="Palatino Linotype" w:cs="Arial"/>
        </w:rPr>
        <w:t>Instituto</w:t>
      </w:r>
      <w:r w:rsidRPr="00C86CE3">
        <w:rPr>
          <w:rFonts w:ascii="Palatino Linotype" w:hAnsi="Palatino Linotype" w:cs="Arial"/>
          <w:lang w:val="es-ES_tradnl"/>
        </w:rPr>
        <w:t xml:space="preserve"> de </w:t>
      </w:r>
      <w:r w:rsidRPr="00C86CE3">
        <w:rPr>
          <w:rFonts w:ascii="Palatino Linotype" w:eastAsia="Arial Unicode MS" w:hAnsi="Palatino Linotype" w:cs="Arial"/>
        </w:rPr>
        <w:t>Transparencia</w:t>
      </w:r>
      <w:r w:rsidRPr="00C86CE3">
        <w:rPr>
          <w:rFonts w:ascii="Palatino Linotype" w:hAnsi="Palatino Linotype" w:cs="Arial"/>
          <w:lang w:val="es-ES_tradnl"/>
        </w:rPr>
        <w:t xml:space="preserve">, Acceso a la Información Pública y </w:t>
      </w:r>
      <w:r w:rsidRPr="00C86CE3">
        <w:rPr>
          <w:rFonts w:ascii="Palatino Linotype" w:hAnsi="Palatino Linotype" w:cs="Arial"/>
          <w:lang w:val="es-ES_tradnl"/>
        </w:rPr>
        <w:lastRenderedPageBreak/>
        <w:t xml:space="preserve">Protección </w:t>
      </w:r>
      <w:r w:rsidRPr="00C86CE3">
        <w:rPr>
          <w:rFonts w:ascii="Palatino Linotype" w:hAnsi="Palatino Linotype" w:cs="Arial"/>
        </w:rPr>
        <w:t>de</w:t>
      </w:r>
      <w:r w:rsidRPr="00C86CE3">
        <w:rPr>
          <w:rFonts w:ascii="Palatino Linotype" w:hAnsi="Palatino Linotype" w:cs="Arial"/>
          <w:lang w:val="es-ES_tradnl"/>
        </w:rPr>
        <w:t xml:space="preserve"> </w:t>
      </w:r>
      <w:r w:rsidRPr="00C86CE3">
        <w:rPr>
          <w:rFonts w:ascii="Palatino Linotype" w:hAnsi="Palatino Linotype"/>
        </w:rPr>
        <w:t>Datos</w:t>
      </w:r>
      <w:r w:rsidRPr="00C86CE3">
        <w:rPr>
          <w:rFonts w:ascii="Palatino Linotype" w:hAnsi="Palatino Linotype" w:cs="Arial"/>
          <w:lang w:val="es-ES_tradnl"/>
        </w:rPr>
        <w:t xml:space="preserve"> </w:t>
      </w:r>
      <w:r w:rsidRPr="00C86CE3">
        <w:rPr>
          <w:rFonts w:ascii="Palatino Linotype" w:hAnsi="Palatino Linotype" w:cs="Arial"/>
        </w:rPr>
        <w:t>Personales</w:t>
      </w:r>
      <w:r w:rsidRPr="00C86CE3">
        <w:rPr>
          <w:rFonts w:ascii="Palatino Linotype" w:hAnsi="Palatino Linotype" w:cs="Arial"/>
          <w:lang w:val="es-ES_tradnl"/>
        </w:rPr>
        <w:t xml:space="preserve"> del Estado de México y Municipios y con fundamento en el </w:t>
      </w:r>
      <w:r w:rsidRPr="00C86CE3">
        <w:rPr>
          <w:rFonts w:ascii="Palatino Linotype" w:hAnsi="Palatino Linotype" w:cs="Arial"/>
        </w:rPr>
        <w:t>artículo</w:t>
      </w:r>
      <w:r w:rsidRPr="00C86CE3">
        <w:rPr>
          <w:rFonts w:ascii="Palatino Linotype" w:hAnsi="Palatino Linotype" w:cs="Arial"/>
          <w:lang w:val="es-ES_tradnl"/>
        </w:rPr>
        <w:t xml:space="preserve"> 185, </w:t>
      </w:r>
      <w:r w:rsidRPr="00C86CE3">
        <w:rPr>
          <w:rFonts w:ascii="Palatino Linotype" w:hAnsi="Palatino Linotype"/>
        </w:rPr>
        <w:t>fracción</w:t>
      </w:r>
      <w:r w:rsidRPr="00C86CE3">
        <w:rPr>
          <w:rFonts w:ascii="Palatino Linotype" w:hAnsi="Palatino Linotype" w:cs="Arial"/>
          <w:lang w:val="es-ES_tradnl"/>
        </w:rPr>
        <w:t xml:space="preserve"> I de la </w:t>
      </w:r>
      <w:r w:rsidRPr="00C86CE3">
        <w:rPr>
          <w:rFonts w:ascii="Palatino Linotype" w:hAnsi="Palatino Linotype"/>
        </w:rPr>
        <w:t>Ley de Transparencia y Acceso a la Información Pública del Estado de México y Municipios</w:t>
      </w:r>
      <w:r w:rsidRPr="00C86CE3">
        <w:rPr>
          <w:rFonts w:ascii="Palatino Linotype" w:hAnsi="Palatino Linotype" w:cs="Arial"/>
          <w:lang w:val="es-ES_tradnl"/>
        </w:rPr>
        <w:t>, se turnó, a través del</w:t>
      </w:r>
      <w:r w:rsidRPr="00C86CE3">
        <w:rPr>
          <w:rFonts w:ascii="Palatino Linotype" w:eastAsia="Arial Unicode MS" w:hAnsi="Palatino Linotype" w:cs="Arial"/>
          <w:lang w:val="es-ES_tradnl"/>
        </w:rPr>
        <w:t xml:space="preserve"> </w:t>
      </w:r>
      <w:r w:rsidRPr="00C86CE3">
        <w:rPr>
          <w:rFonts w:ascii="Palatino Linotype" w:eastAsia="Arial Unicode MS" w:hAnsi="Palatino Linotype" w:cs="Arial"/>
          <w:b/>
          <w:lang w:val="es-ES_tradnl"/>
        </w:rPr>
        <w:t>SAIMEX</w:t>
      </w:r>
      <w:r w:rsidRPr="00C86CE3">
        <w:rPr>
          <w:rFonts w:ascii="Palatino Linotype" w:hAnsi="Palatino Linotype"/>
        </w:rPr>
        <w:t xml:space="preserve">, a la </w:t>
      </w:r>
      <w:r w:rsidRPr="00C86CE3">
        <w:rPr>
          <w:rFonts w:ascii="Palatino Linotype" w:hAnsi="Palatino Linotype" w:cs="Arial"/>
          <w:lang w:val="es-ES_tradnl"/>
        </w:rPr>
        <w:t xml:space="preserve">Comisionada </w:t>
      </w:r>
      <w:r w:rsidRPr="00C86CE3">
        <w:rPr>
          <w:rFonts w:ascii="Palatino Linotype" w:hAnsi="Palatino Linotype" w:cs="Arial"/>
          <w:b/>
          <w:lang w:val="es-ES_tradnl"/>
        </w:rPr>
        <w:t>EVA ABAID YAPUR</w:t>
      </w:r>
      <w:r w:rsidRPr="00C86CE3">
        <w:rPr>
          <w:rFonts w:ascii="Palatino Linotype" w:hAnsi="Palatino Linotype" w:cs="Arial"/>
          <w:lang w:val="es-ES_tradnl"/>
        </w:rPr>
        <w:t>, a efecto de que decretara su admisión o desechamiento.</w:t>
      </w:r>
    </w:p>
    <w:p w:rsidR="0041633D" w:rsidRPr="00C86CE3" w:rsidRDefault="0041633D" w:rsidP="0041633D">
      <w:pPr>
        <w:pStyle w:val="Prrafodelista"/>
        <w:tabs>
          <w:tab w:val="left" w:pos="567"/>
        </w:tabs>
        <w:spacing w:before="100" w:beforeAutospacing="1" w:after="100" w:afterAutospacing="1" w:line="360" w:lineRule="auto"/>
        <w:ind w:left="0"/>
        <w:jc w:val="both"/>
        <w:rPr>
          <w:rFonts w:ascii="Palatino Linotype" w:hAnsi="Palatino Linotype" w:cs="Arial"/>
        </w:rPr>
      </w:pPr>
      <w:r w:rsidRPr="00C86CE3">
        <w:rPr>
          <w:rFonts w:ascii="Palatino Linotype" w:hAnsi="Palatino Linotype" w:cs="Arial"/>
          <w:b/>
          <w:sz w:val="28"/>
          <w:szCs w:val="28"/>
        </w:rPr>
        <w:t>V</w:t>
      </w:r>
      <w:r w:rsidR="003809BB" w:rsidRPr="00C86CE3">
        <w:rPr>
          <w:rFonts w:ascii="Palatino Linotype" w:hAnsi="Palatino Linotype" w:cs="Arial"/>
          <w:b/>
          <w:sz w:val="28"/>
          <w:szCs w:val="28"/>
        </w:rPr>
        <w:t>I</w:t>
      </w:r>
      <w:r w:rsidRPr="00C86CE3">
        <w:rPr>
          <w:rFonts w:ascii="Palatino Linotype" w:hAnsi="Palatino Linotype" w:cs="Arial"/>
          <w:b/>
          <w:sz w:val="28"/>
          <w:szCs w:val="28"/>
        </w:rPr>
        <w:t>I.</w:t>
      </w:r>
      <w:r w:rsidRPr="00C86CE3">
        <w:rPr>
          <w:rFonts w:ascii="Palatino Linotype" w:hAnsi="Palatino Linotype" w:cs="Arial"/>
        </w:rPr>
        <w:t xml:space="preserve"> En fecha </w:t>
      </w:r>
      <w:r w:rsidR="003809BB" w:rsidRPr="00C86CE3">
        <w:rPr>
          <w:rFonts w:ascii="Palatino Linotype" w:hAnsi="Palatino Linotype" w:cs="Arial"/>
        </w:rPr>
        <w:t>trece</w:t>
      </w:r>
      <w:r w:rsidRPr="00C86CE3">
        <w:rPr>
          <w:rFonts w:ascii="Palatino Linotype" w:hAnsi="Palatino Linotype" w:cs="Arial"/>
        </w:rPr>
        <w:t xml:space="preserve"> de diciembre </w:t>
      </w:r>
      <w:r w:rsidRPr="00C86CE3">
        <w:rPr>
          <w:rFonts w:ascii="Palatino Linotype" w:hAnsi="Palatino Linotype"/>
        </w:rPr>
        <w:t>de dos mil dieciocho</w:t>
      </w:r>
      <w:r w:rsidRPr="00C86CE3">
        <w:rPr>
          <w:rFonts w:ascii="Palatino Linotype" w:hAnsi="Palatino Linotype" w:cs="Arial"/>
        </w:rPr>
        <w:t xml:space="preserve">, atento a lo dispuesto en el artículo 185, fracciones I, II y IV de la </w:t>
      </w:r>
      <w:r w:rsidRPr="00C86CE3">
        <w:rPr>
          <w:rFonts w:ascii="Palatino Linotype" w:hAnsi="Palatino Linotype"/>
        </w:rPr>
        <w:t>Ley de Transparencia y Acceso a la Información Pública del Estado de México y Municipios, se a</w:t>
      </w:r>
      <w:r w:rsidRPr="00C86CE3">
        <w:rPr>
          <w:rFonts w:ascii="Palatino Linotype" w:hAnsi="Palatino Linotype" w:cs="Arial"/>
        </w:rPr>
        <w:t xml:space="preserve">cordó la admisión a trámite del referido recurso de </w:t>
      </w:r>
      <w:r w:rsidRPr="00C86CE3">
        <w:rPr>
          <w:rFonts w:ascii="Palatino Linotype" w:hAnsi="Palatino Linotype" w:cs="Arial"/>
          <w:lang w:val="es-ES_tradnl"/>
        </w:rPr>
        <w:t>revisión</w:t>
      </w:r>
      <w:r w:rsidRPr="00C86CE3">
        <w:rPr>
          <w:rFonts w:ascii="Palatino Linotype" w:hAnsi="Palatino Linotype" w:cs="Arial"/>
        </w:rPr>
        <w:t xml:space="preserve">, así como la integración del expediente respectivo, mismo que se puso a disposición de las partes, para que en el plazo máximo de siete días hábiles, </w:t>
      </w:r>
      <w:r w:rsidR="003809BB" w:rsidRPr="00C86CE3">
        <w:rPr>
          <w:rFonts w:ascii="Palatino Linotype" w:hAnsi="Palatino Linotype" w:cs="Arial"/>
          <w:b/>
        </w:rPr>
        <w:t>LA</w:t>
      </w:r>
      <w:r w:rsidR="00A90F1D" w:rsidRPr="00C86CE3">
        <w:rPr>
          <w:rFonts w:ascii="Palatino Linotype" w:hAnsi="Palatino Linotype" w:cs="Arial"/>
          <w:b/>
        </w:rPr>
        <w:t xml:space="preserve"> RECURRENTE</w:t>
      </w:r>
      <w:r w:rsidRPr="00C86CE3">
        <w:rPr>
          <w:rFonts w:ascii="Palatino Linotype" w:hAnsi="Palatino Linotype" w:cs="Arial"/>
        </w:rPr>
        <w:t xml:space="preserve"> realizara manifestaciones, alegatos y ofreciera las pruebas que a su derecho </w:t>
      </w:r>
      <w:r w:rsidRPr="00C86CE3">
        <w:rPr>
          <w:rFonts w:ascii="Palatino Linotype" w:hAnsi="Palatino Linotype" w:cs="Arial"/>
          <w:lang w:val="es-ES_tradnl"/>
        </w:rPr>
        <w:t>conviniera</w:t>
      </w:r>
      <w:r w:rsidRPr="00C86CE3">
        <w:rPr>
          <w:rFonts w:ascii="Palatino Linotype" w:hAnsi="Palatino Linotype" w:cs="Arial"/>
        </w:rPr>
        <w:t xml:space="preserve"> y, en el caso del</w:t>
      </w:r>
      <w:r w:rsidRPr="00C86CE3">
        <w:rPr>
          <w:rFonts w:ascii="Palatino Linotype" w:hAnsi="Palatino Linotype" w:cs="Arial"/>
          <w:b/>
        </w:rPr>
        <w:t xml:space="preserve"> SUJETO OBLIGADO</w:t>
      </w:r>
      <w:r w:rsidRPr="00C86CE3">
        <w:rPr>
          <w:rFonts w:ascii="Palatino Linotype" w:hAnsi="Palatino Linotype" w:cs="Arial"/>
        </w:rPr>
        <w:t>, para que exhibiera el Informe Justificado correspondiente.</w:t>
      </w:r>
    </w:p>
    <w:p w:rsidR="003809BB" w:rsidRPr="00C86CE3" w:rsidRDefault="0041633D" w:rsidP="003809BB">
      <w:pPr>
        <w:pStyle w:val="Prrafodelista"/>
        <w:spacing w:before="100" w:beforeAutospacing="1" w:after="100" w:afterAutospacing="1" w:line="360" w:lineRule="auto"/>
        <w:ind w:left="0"/>
        <w:jc w:val="both"/>
        <w:rPr>
          <w:rFonts w:ascii="Palatino Linotype" w:hAnsi="Palatino Linotype" w:cs="Arial"/>
        </w:rPr>
      </w:pPr>
      <w:r w:rsidRPr="00C86CE3">
        <w:rPr>
          <w:rFonts w:ascii="Palatino Linotype" w:hAnsi="Palatino Linotype" w:cs="Arial"/>
          <w:b/>
          <w:sz w:val="28"/>
          <w:szCs w:val="28"/>
        </w:rPr>
        <w:t>VI</w:t>
      </w:r>
      <w:r w:rsidR="003809BB" w:rsidRPr="00C86CE3">
        <w:rPr>
          <w:rFonts w:ascii="Palatino Linotype" w:hAnsi="Palatino Linotype" w:cs="Arial"/>
          <w:b/>
          <w:sz w:val="28"/>
          <w:szCs w:val="28"/>
        </w:rPr>
        <w:t>I</w:t>
      </w:r>
      <w:r w:rsidRPr="00C86CE3">
        <w:rPr>
          <w:rFonts w:ascii="Palatino Linotype" w:hAnsi="Palatino Linotype" w:cs="Arial"/>
          <w:b/>
          <w:sz w:val="28"/>
          <w:szCs w:val="28"/>
        </w:rPr>
        <w:t>I.</w:t>
      </w:r>
      <w:r w:rsidRPr="00C86CE3">
        <w:rPr>
          <w:rFonts w:ascii="Palatino Linotype" w:hAnsi="Palatino Linotype" w:cs="Arial"/>
        </w:rPr>
        <w:t xml:space="preserve"> </w:t>
      </w:r>
      <w:r w:rsidR="003809BB" w:rsidRPr="00C86CE3">
        <w:rPr>
          <w:rFonts w:ascii="Palatino Linotype" w:hAnsi="Palatino Linotype" w:cs="Arial"/>
        </w:rPr>
        <w:t xml:space="preserve">De las constancias que obran en el </w:t>
      </w:r>
      <w:r w:rsidR="003809BB" w:rsidRPr="00C86CE3">
        <w:rPr>
          <w:rFonts w:ascii="Palatino Linotype" w:hAnsi="Palatino Linotype" w:cs="Arial"/>
          <w:b/>
        </w:rPr>
        <w:t>SAIMEX</w:t>
      </w:r>
      <w:r w:rsidR="003809BB" w:rsidRPr="00C86CE3">
        <w:rPr>
          <w:rFonts w:ascii="Palatino Linotype" w:hAnsi="Palatino Linotype" w:cs="Arial"/>
        </w:rPr>
        <w:t xml:space="preserve">, se desprende que dentro del término concedido a las partes </w:t>
      </w:r>
      <w:r w:rsidR="003809BB" w:rsidRPr="00C86CE3">
        <w:rPr>
          <w:rFonts w:ascii="Palatino Linotype" w:hAnsi="Palatino Linotype" w:cs="Arial"/>
          <w:b/>
        </w:rPr>
        <w:t>LA</w:t>
      </w:r>
      <w:r w:rsidR="00A90F1D" w:rsidRPr="00C86CE3">
        <w:rPr>
          <w:rFonts w:ascii="Palatino Linotype" w:hAnsi="Palatino Linotype" w:cs="Arial"/>
          <w:b/>
        </w:rPr>
        <w:t xml:space="preserve"> RECURRENTE</w:t>
      </w:r>
      <w:r w:rsidR="003809BB" w:rsidRPr="00C86CE3">
        <w:rPr>
          <w:rFonts w:ascii="Palatino Linotype" w:hAnsi="Palatino Linotype" w:cs="Arial"/>
          <w:b/>
        </w:rPr>
        <w:t xml:space="preserve"> </w:t>
      </w:r>
      <w:r w:rsidR="003809BB" w:rsidRPr="00C86CE3">
        <w:rPr>
          <w:rFonts w:ascii="Palatino Linotype" w:hAnsi="Palatino Linotype" w:cs="Arial"/>
        </w:rPr>
        <w:t xml:space="preserve">no presentó </w:t>
      </w:r>
      <w:r w:rsidR="003809BB" w:rsidRPr="00C86CE3">
        <w:rPr>
          <w:rFonts w:ascii="Palatino Linotype" w:hAnsi="Palatino Linotype"/>
        </w:rPr>
        <w:t>manifestaciones</w:t>
      </w:r>
      <w:r w:rsidR="003809BB" w:rsidRPr="00C86CE3">
        <w:rPr>
          <w:rFonts w:ascii="Palatino Linotype" w:hAnsi="Palatino Linotype" w:cs="Arial"/>
        </w:rPr>
        <w:t xml:space="preserve"> y alegatos, ni ofreció los medios de prueba que a su derecho convinieran. Por otra parte, </w:t>
      </w:r>
      <w:r w:rsidR="003809BB" w:rsidRPr="00C86CE3">
        <w:rPr>
          <w:rFonts w:ascii="Palatino Linotype" w:hAnsi="Palatino Linotype" w:cs="Arial"/>
          <w:b/>
        </w:rPr>
        <w:t xml:space="preserve">EL SUJETO OBLIGADO </w:t>
      </w:r>
      <w:r w:rsidR="003809BB" w:rsidRPr="00C86CE3">
        <w:rPr>
          <w:rFonts w:ascii="Palatino Linotype" w:hAnsi="Palatino Linotype" w:cs="Arial"/>
        </w:rPr>
        <w:t>en fecha catorce de diciembre de dos mil dieciocho, rindió el  Informe Justificado correspondiente, tal y como se advierte de la imagen siguiente:</w:t>
      </w:r>
    </w:p>
    <w:p w:rsidR="0041633D" w:rsidRPr="00C86CE3" w:rsidRDefault="003809BB" w:rsidP="003809BB">
      <w:pPr>
        <w:pStyle w:val="Prrafodelista"/>
        <w:tabs>
          <w:tab w:val="left" w:pos="567"/>
        </w:tabs>
        <w:spacing w:before="100" w:beforeAutospacing="1" w:after="100" w:afterAutospacing="1" w:line="360" w:lineRule="auto"/>
        <w:ind w:left="0"/>
        <w:jc w:val="center"/>
        <w:rPr>
          <w:rFonts w:ascii="Palatino Linotype" w:hAnsi="Palatino Linotype" w:cs="Arial"/>
        </w:rPr>
      </w:pPr>
      <w:r w:rsidRPr="00C86CE3">
        <w:rPr>
          <w:noProof/>
          <w:lang w:eastAsia="es-MX"/>
        </w:rPr>
        <w:lastRenderedPageBreak/>
        <w:drawing>
          <wp:inline distT="0" distB="0" distL="0" distR="0" wp14:anchorId="75F5F83A" wp14:editId="65304101">
            <wp:extent cx="5096510" cy="1654377"/>
            <wp:effectExtent l="0" t="0" r="889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675" t="23360" r="16224" b="36891"/>
                    <a:stretch/>
                  </pic:blipFill>
                  <pic:spPr bwMode="auto">
                    <a:xfrm>
                      <a:off x="0" y="0"/>
                      <a:ext cx="5131177" cy="1665630"/>
                    </a:xfrm>
                    <a:prstGeom prst="rect">
                      <a:avLst/>
                    </a:prstGeom>
                    <a:ln>
                      <a:noFill/>
                    </a:ln>
                    <a:extLst>
                      <a:ext uri="{53640926-AAD7-44D8-BBD7-CCE9431645EC}">
                        <a14:shadowObscured xmlns:a14="http://schemas.microsoft.com/office/drawing/2010/main"/>
                      </a:ext>
                    </a:extLst>
                  </pic:spPr>
                </pic:pic>
              </a:graphicData>
            </a:graphic>
          </wp:inline>
        </w:drawing>
      </w:r>
    </w:p>
    <w:p w:rsidR="0041633D" w:rsidRPr="00C86CE3" w:rsidRDefault="00FB4A4A" w:rsidP="0041633D">
      <w:pPr>
        <w:pStyle w:val="Prrafodelista"/>
        <w:spacing w:before="100" w:beforeAutospacing="1" w:after="100" w:afterAutospacing="1" w:line="360" w:lineRule="auto"/>
        <w:ind w:left="0"/>
        <w:jc w:val="both"/>
        <w:rPr>
          <w:rFonts w:ascii="Palatino Linotype" w:hAnsi="Palatino Linotype"/>
          <w:lang w:eastAsia="es-ES_tradnl"/>
        </w:rPr>
      </w:pPr>
      <w:r w:rsidRPr="00C86CE3">
        <w:rPr>
          <w:rFonts w:ascii="Palatino Linotype" w:hAnsi="Palatino Linotype"/>
          <w:noProof/>
          <w:lang w:eastAsia="es-MX"/>
        </w:rPr>
        <mc:AlternateContent>
          <mc:Choice Requires="wps">
            <w:drawing>
              <wp:anchor distT="0" distB="0" distL="114300" distR="114300" simplePos="0" relativeHeight="251664384" behindDoc="0" locked="0" layoutInCell="1" allowOverlap="1">
                <wp:simplePos x="0" y="0"/>
                <wp:positionH relativeFrom="margin">
                  <wp:posOffset>-1882</wp:posOffset>
                </wp:positionH>
                <wp:positionV relativeFrom="paragraph">
                  <wp:posOffset>1453064</wp:posOffset>
                </wp:positionV>
                <wp:extent cx="5765800" cy="3033395"/>
                <wp:effectExtent l="0" t="0" r="25400" b="33655"/>
                <wp:wrapNone/>
                <wp:docPr id="9" name="Conector recto 9"/>
                <wp:cNvGraphicFramePr/>
                <a:graphic xmlns:a="http://schemas.openxmlformats.org/drawingml/2006/main">
                  <a:graphicData uri="http://schemas.microsoft.com/office/word/2010/wordprocessingShape">
                    <wps:wsp>
                      <wps:cNvCnPr/>
                      <wps:spPr>
                        <a:xfrm>
                          <a:off x="0" y="0"/>
                          <a:ext cx="5765800" cy="30333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4FA5B" id="Conector recto 9"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14.4pt" to="453.8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" strokecolor="#5b9bd5 [3204]" strokeweight="1.5pt">
                <v:stroke joinstyle="miter"/>
                <w10:wrap anchorx="margin"/>
              </v:line>
            </w:pict>
          </mc:Fallback>
        </mc:AlternateContent>
      </w:r>
      <w:r w:rsidR="0041633D" w:rsidRPr="00C86CE3">
        <w:rPr>
          <w:rFonts w:ascii="Palatino Linotype" w:hAnsi="Palatino Linotype"/>
          <w:lang w:eastAsia="es-ES_tradnl"/>
        </w:rPr>
        <w:t>Informe que no fue puesto a la vista de</w:t>
      </w:r>
      <w:r w:rsidR="003809BB" w:rsidRPr="00C86CE3">
        <w:rPr>
          <w:rFonts w:ascii="Palatino Linotype" w:hAnsi="Palatino Linotype"/>
          <w:lang w:eastAsia="es-ES_tradnl"/>
        </w:rPr>
        <w:t xml:space="preserve"> </w:t>
      </w:r>
      <w:r w:rsidR="0041633D" w:rsidRPr="00C86CE3">
        <w:rPr>
          <w:rFonts w:ascii="Palatino Linotype" w:hAnsi="Palatino Linotype"/>
          <w:lang w:eastAsia="es-ES_tradnl"/>
        </w:rPr>
        <w:t>l</w:t>
      </w:r>
      <w:r w:rsidR="003809BB" w:rsidRPr="00C86CE3">
        <w:rPr>
          <w:rFonts w:ascii="Palatino Linotype" w:hAnsi="Palatino Linotype"/>
          <w:lang w:eastAsia="es-ES_tradnl"/>
        </w:rPr>
        <w:t>a</w:t>
      </w:r>
      <w:r w:rsidR="0041633D" w:rsidRPr="00C86CE3">
        <w:rPr>
          <w:rFonts w:ascii="Palatino Linotype" w:hAnsi="Palatino Linotype"/>
          <w:lang w:eastAsia="es-ES_tradnl"/>
        </w:rPr>
        <w:t xml:space="preserve"> particular, toda vez que </w:t>
      </w:r>
      <w:r w:rsidR="0041633D" w:rsidRPr="00C86CE3">
        <w:rPr>
          <w:rFonts w:ascii="Palatino Linotype" w:hAnsi="Palatino Linotype"/>
          <w:b/>
          <w:lang w:eastAsia="es-ES_tradnl"/>
        </w:rPr>
        <w:t xml:space="preserve">EL SUJETO OBLIGADO </w:t>
      </w:r>
      <w:r w:rsidR="00781220" w:rsidRPr="00C86CE3">
        <w:rPr>
          <w:rFonts w:ascii="Palatino Linotype" w:hAnsi="Palatino Linotype"/>
          <w:lang w:eastAsia="es-ES_tradnl"/>
        </w:rPr>
        <w:t>insistió en que la particular no atendió la solicitud de aclaración lo que conllevó a tener por no presentada su solicitud de información</w:t>
      </w:r>
      <w:r w:rsidR="0041633D" w:rsidRPr="00C86CE3">
        <w:rPr>
          <w:rFonts w:ascii="Palatino Linotype" w:hAnsi="Palatino Linotype"/>
          <w:lang w:eastAsia="es-ES_tradnl"/>
        </w:rPr>
        <w:t>, lo que en consecuencia no actualiza el supuesto previsto en la fracción III del artícu</w:t>
      </w:r>
      <w:r w:rsidRPr="00C86CE3">
        <w:rPr>
          <w:rFonts w:ascii="Palatino Linotype" w:hAnsi="Palatino Linotype"/>
          <w:lang w:eastAsia="es-ES_tradnl"/>
        </w:rPr>
        <w:t>lo 185 de la Ley de la materia; razón por la que se inserta a continuación:</w:t>
      </w:r>
    </w:p>
    <w:p w:rsidR="00FB4A4A" w:rsidRPr="00C86CE3" w:rsidRDefault="001D1514" w:rsidP="00FB4A4A">
      <w:pPr>
        <w:pStyle w:val="Prrafodelista"/>
        <w:spacing w:before="100" w:beforeAutospacing="1" w:after="100" w:afterAutospacing="1" w:line="360" w:lineRule="auto"/>
        <w:ind w:left="0"/>
        <w:jc w:val="center"/>
        <w:rPr>
          <w:rFonts w:ascii="Palatino Linotype" w:hAnsi="Palatino Linotype"/>
          <w:lang w:eastAsia="es-ES_tradnl"/>
        </w:rPr>
      </w:pPr>
      <w:r>
        <w:rPr>
          <w:noProof/>
          <w:lang w:eastAsia="es-MX"/>
        </w:rPr>
        <w:lastRenderedPageBreak/>
        <w:drawing>
          <wp:inline distT="0" distB="0" distL="0" distR="0" wp14:anchorId="1E9A9805" wp14:editId="44A393A3">
            <wp:extent cx="4708566" cy="6221935"/>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57" t="17130" r="34594" b="10877"/>
                    <a:stretch/>
                  </pic:blipFill>
                  <pic:spPr bwMode="auto">
                    <a:xfrm>
                      <a:off x="0" y="0"/>
                      <a:ext cx="4735260" cy="625720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B4A4A" w:rsidRPr="00C86CE3" w:rsidRDefault="00FB4A4A" w:rsidP="00FB4A4A">
      <w:pPr>
        <w:pStyle w:val="Prrafodelista"/>
        <w:spacing w:before="100" w:beforeAutospacing="1" w:after="100" w:afterAutospacing="1" w:line="360" w:lineRule="auto"/>
        <w:ind w:left="0"/>
        <w:jc w:val="center"/>
        <w:rPr>
          <w:rFonts w:ascii="Palatino Linotype" w:hAnsi="Palatino Linotype"/>
          <w:lang w:eastAsia="es-ES_tradnl"/>
        </w:rPr>
      </w:pPr>
      <w:r w:rsidRPr="00C86CE3">
        <w:rPr>
          <w:noProof/>
          <w:lang w:eastAsia="es-MX"/>
        </w:rPr>
        <w:lastRenderedPageBreak/>
        <w:drawing>
          <wp:inline distT="0" distB="0" distL="0" distR="0" wp14:anchorId="4093E1F2" wp14:editId="200DE3D6">
            <wp:extent cx="4652401" cy="627394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95" t="11843" r="34020" b="10284"/>
                    <a:stretch/>
                  </pic:blipFill>
                  <pic:spPr bwMode="auto">
                    <a:xfrm>
                      <a:off x="0" y="0"/>
                      <a:ext cx="4668663" cy="6295876"/>
                    </a:xfrm>
                    <a:prstGeom prst="rect">
                      <a:avLst/>
                    </a:prstGeom>
                    <a:ln>
                      <a:noFill/>
                    </a:ln>
                    <a:extLst>
                      <a:ext uri="{53640926-AAD7-44D8-BBD7-CCE9431645EC}">
                        <a14:shadowObscured xmlns:a14="http://schemas.microsoft.com/office/drawing/2010/main"/>
                      </a:ext>
                    </a:extLst>
                  </pic:spPr>
                </pic:pic>
              </a:graphicData>
            </a:graphic>
          </wp:inline>
        </w:drawing>
      </w:r>
    </w:p>
    <w:p w:rsidR="00FB4A4A" w:rsidRPr="00C86CE3" w:rsidRDefault="00FB4A4A" w:rsidP="00FB4A4A">
      <w:pPr>
        <w:pStyle w:val="Prrafodelista"/>
        <w:spacing w:before="100" w:beforeAutospacing="1" w:after="100" w:afterAutospacing="1" w:line="360" w:lineRule="auto"/>
        <w:ind w:left="0"/>
        <w:jc w:val="center"/>
        <w:rPr>
          <w:rFonts w:ascii="Palatino Linotype" w:hAnsi="Palatino Linotype"/>
          <w:lang w:eastAsia="es-ES_tradnl"/>
        </w:rPr>
      </w:pPr>
      <w:r w:rsidRPr="00C86CE3">
        <w:rPr>
          <w:noProof/>
          <w:lang w:eastAsia="es-MX"/>
        </w:rPr>
        <w:lastRenderedPageBreak/>
        <w:drawing>
          <wp:inline distT="0" distB="0" distL="0" distR="0" wp14:anchorId="70C37CF8" wp14:editId="47D65908">
            <wp:extent cx="4810797" cy="6236948"/>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52" t="11031" r="33746" b="12221"/>
                    <a:stretch/>
                  </pic:blipFill>
                  <pic:spPr bwMode="auto">
                    <a:xfrm>
                      <a:off x="0" y="0"/>
                      <a:ext cx="4828671" cy="6260120"/>
                    </a:xfrm>
                    <a:prstGeom prst="rect">
                      <a:avLst/>
                    </a:prstGeom>
                    <a:ln>
                      <a:noFill/>
                    </a:ln>
                    <a:extLst>
                      <a:ext uri="{53640926-AAD7-44D8-BBD7-CCE9431645EC}">
                        <a14:shadowObscured xmlns:a14="http://schemas.microsoft.com/office/drawing/2010/main"/>
                      </a:ext>
                    </a:extLst>
                  </pic:spPr>
                </pic:pic>
              </a:graphicData>
            </a:graphic>
          </wp:inline>
        </w:drawing>
      </w:r>
    </w:p>
    <w:p w:rsidR="00FB4A4A" w:rsidRPr="00C86CE3" w:rsidRDefault="00FB4A4A" w:rsidP="00FB4A4A">
      <w:pPr>
        <w:pStyle w:val="Prrafodelista"/>
        <w:spacing w:before="100" w:beforeAutospacing="1" w:after="100" w:afterAutospacing="1" w:line="360" w:lineRule="auto"/>
        <w:ind w:left="0"/>
        <w:jc w:val="center"/>
        <w:rPr>
          <w:rFonts w:ascii="Palatino Linotype" w:hAnsi="Palatino Linotype"/>
          <w:lang w:eastAsia="es-ES_tradnl"/>
        </w:rPr>
      </w:pPr>
      <w:r w:rsidRPr="00C86CE3">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299392</wp:posOffset>
                </wp:positionH>
                <wp:positionV relativeFrom="paragraph">
                  <wp:posOffset>3592550</wp:posOffset>
                </wp:positionV>
                <wp:extent cx="5459973" cy="2759057"/>
                <wp:effectExtent l="0" t="0" r="26670" b="22860"/>
                <wp:wrapNone/>
                <wp:docPr id="14" name="Conector recto 14"/>
                <wp:cNvGraphicFramePr/>
                <a:graphic xmlns:a="http://schemas.openxmlformats.org/drawingml/2006/main">
                  <a:graphicData uri="http://schemas.microsoft.com/office/word/2010/wordprocessingShape">
                    <wps:wsp>
                      <wps:cNvCnPr/>
                      <wps:spPr>
                        <a:xfrm>
                          <a:off x="0" y="0"/>
                          <a:ext cx="5459973" cy="275905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44C31" id="Conector recto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55pt,282.9pt" to="453.45pt,5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" strokecolor="#5b9bd5 [3204]" strokeweight="1.5pt">
                <v:stroke joinstyle="miter"/>
              </v:line>
            </w:pict>
          </mc:Fallback>
        </mc:AlternateContent>
      </w:r>
      <w:r w:rsidRPr="00C86CE3">
        <w:rPr>
          <w:noProof/>
          <w:lang w:eastAsia="es-MX"/>
        </w:rPr>
        <w:drawing>
          <wp:inline distT="0" distB="0" distL="0" distR="0" wp14:anchorId="5C942D53" wp14:editId="03D53879">
            <wp:extent cx="4571563" cy="3477891"/>
            <wp:effectExtent l="0" t="0" r="63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50" t="20116" r="34295" b="35587"/>
                    <a:stretch/>
                  </pic:blipFill>
                  <pic:spPr bwMode="auto">
                    <a:xfrm>
                      <a:off x="0" y="0"/>
                      <a:ext cx="4645085" cy="3533824"/>
                    </a:xfrm>
                    <a:prstGeom prst="rect">
                      <a:avLst/>
                    </a:prstGeom>
                    <a:ln>
                      <a:noFill/>
                    </a:ln>
                    <a:extLst>
                      <a:ext uri="{53640926-AAD7-44D8-BBD7-CCE9431645EC}">
                        <a14:shadowObscured xmlns:a14="http://schemas.microsoft.com/office/drawing/2010/main"/>
                      </a:ext>
                    </a:extLst>
                  </pic:spPr>
                </pic:pic>
              </a:graphicData>
            </a:graphic>
          </wp:inline>
        </w:drawing>
      </w:r>
    </w:p>
    <w:p w:rsidR="00FB4A4A" w:rsidRPr="00C86CE3" w:rsidRDefault="00FB4A4A" w:rsidP="00FB4A4A">
      <w:pPr>
        <w:pStyle w:val="Prrafodelista"/>
        <w:spacing w:before="100" w:beforeAutospacing="1" w:after="100" w:afterAutospacing="1" w:line="360" w:lineRule="auto"/>
        <w:ind w:left="0"/>
        <w:jc w:val="center"/>
        <w:rPr>
          <w:rFonts w:ascii="Palatino Linotype" w:hAnsi="Palatino Linotype"/>
          <w:lang w:eastAsia="es-ES_tradnl"/>
        </w:rPr>
      </w:pPr>
      <w:r w:rsidRPr="00C86CE3">
        <w:rPr>
          <w:noProof/>
          <w:lang w:eastAsia="es-MX"/>
        </w:rPr>
        <w:lastRenderedPageBreak/>
        <w:drawing>
          <wp:inline distT="0" distB="0" distL="0" distR="0" wp14:anchorId="5815F4B9" wp14:editId="0879DA58">
            <wp:extent cx="4888523" cy="6247519"/>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97" t="11355" r="32651" b="11739"/>
                    <a:stretch/>
                  </pic:blipFill>
                  <pic:spPr bwMode="auto">
                    <a:xfrm>
                      <a:off x="0" y="0"/>
                      <a:ext cx="4908012" cy="6272426"/>
                    </a:xfrm>
                    <a:prstGeom prst="rect">
                      <a:avLst/>
                    </a:prstGeom>
                    <a:ln>
                      <a:noFill/>
                    </a:ln>
                    <a:extLst>
                      <a:ext uri="{53640926-AAD7-44D8-BBD7-CCE9431645EC}">
                        <a14:shadowObscured xmlns:a14="http://schemas.microsoft.com/office/drawing/2010/main"/>
                      </a:ext>
                    </a:extLst>
                  </pic:spPr>
                </pic:pic>
              </a:graphicData>
            </a:graphic>
          </wp:inline>
        </w:drawing>
      </w:r>
    </w:p>
    <w:p w:rsidR="00FB4A4A" w:rsidRPr="00C86CE3" w:rsidRDefault="00FB4A4A" w:rsidP="00FB4A4A">
      <w:pPr>
        <w:pStyle w:val="Prrafodelista"/>
        <w:spacing w:before="100" w:beforeAutospacing="1" w:after="100" w:afterAutospacing="1" w:line="360" w:lineRule="auto"/>
        <w:ind w:left="0"/>
        <w:jc w:val="center"/>
        <w:rPr>
          <w:rFonts w:ascii="Palatino Linotype" w:hAnsi="Palatino Linotype"/>
          <w:lang w:eastAsia="es-ES_tradnl"/>
        </w:rPr>
      </w:pPr>
      <w:r w:rsidRPr="00C86CE3">
        <w:rPr>
          <w:noProof/>
          <w:lang w:eastAsia="es-MX"/>
        </w:rPr>
        <w:lastRenderedPageBreak/>
        <w:drawing>
          <wp:inline distT="0" distB="0" distL="0" distR="0" wp14:anchorId="16ACEBDF" wp14:editId="55083A1D">
            <wp:extent cx="4778631" cy="6295089"/>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863" t="10057" r="33016" b="12384"/>
                    <a:stretch/>
                  </pic:blipFill>
                  <pic:spPr bwMode="auto">
                    <a:xfrm>
                      <a:off x="0" y="0"/>
                      <a:ext cx="4791650" cy="6312239"/>
                    </a:xfrm>
                    <a:prstGeom prst="rect">
                      <a:avLst/>
                    </a:prstGeom>
                    <a:ln>
                      <a:noFill/>
                    </a:ln>
                    <a:extLst>
                      <a:ext uri="{53640926-AAD7-44D8-BBD7-CCE9431645EC}">
                        <a14:shadowObscured xmlns:a14="http://schemas.microsoft.com/office/drawing/2010/main"/>
                      </a:ext>
                    </a:extLst>
                  </pic:spPr>
                </pic:pic>
              </a:graphicData>
            </a:graphic>
          </wp:inline>
        </w:drawing>
      </w:r>
    </w:p>
    <w:p w:rsidR="00FB4A4A" w:rsidRPr="00C86CE3" w:rsidRDefault="00FB4A4A" w:rsidP="00FB4A4A">
      <w:pPr>
        <w:pStyle w:val="Prrafodelista"/>
        <w:spacing w:before="100" w:beforeAutospacing="1" w:after="100" w:afterAutospacing="1" w:line="360" w:lineRule="auto"/>
        <w:ind w:left="0"/>
        <w:jc w:val="center"/>
        <w:rPr>
          <w:rFonts w:ascii="Palatino Linotype" w:hAnsi="Palatino Linotype"/>
          <w:lang w:eastAsia="es-ES_tradnl"/>
        </w:rPr>
      </w:pPr>
      <w:r w:rsidRPr="00C86CE3">
        <w:rPr>
          <w:noProof/>
          <w:lang w:eastAsia="es-MX"/>
        </w:rPr>
        <w:lastRenderedPageBreak/>
        <w:drawing>
          <wp:inline distT="0" distB="0" distL="0" distR="0" wp14:anchorId="1D738629" wp14:editId="03264561">
            <wp:extent cx="4096300" cy="3352571"/>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80" t="10869" r="33199" b="40943"/>
                    <a:stretch/>
                  </pic:blipFill>
                  <pic:spPr bwMode="auto">
                    <a:xfrm>
                      <a:off x="0" y="0"/>
                      <a:ext cx="4123603" cy="3374917"/>
                    </a:xfrm>
                    <a:prstGeom prst="rect">
                      <a:avLst/>
                    </a:prstGeom>
                    <a:ln>
                      <a:noFill/>
                    </a:ln>
                    <a:extLst>
                      <a:ext uri="{53640926-AAD7-44D8-BBD7-CCE9431645EC}">
                        <a14:shadowObscured xmlns:a14="http://schemas.microsoft.com/office/drawing/2010/main"/>
                      </a:ext>
                    </a:extLst>
                  </pic:spPr>
                </pic:pic>
              </a:graphicData>
            </a:graphic>
          </wp:inline>
        </w:drawing>
      </w:r>
    </w:p>
    <w:p w:rsidR="0041633D" w:rsidRPr="00C86CE3" w:rsidRDefault="0041633D" w:rsidP="0041633D">
      <w:pPr>
        <w:pStyle w:val="Prrafodelista"/>
        <w:tabs>
          <w:tab w:val="left" w:pos="567"/>
        </w:tabs>
        <w:spacing w:before="100" w:beforeAutospacing="1" w:after="100" w:afterAutospacing="1" w:line="360" w:lineRule="auto"/>
        <w:ind w:left="0"/>
        <w:jc w:val="both"/>
        <w:rPr>
          <w:rFonts w:ascii="Palatino Linotype" w:hAnsi="Palatino Linotype" w:cs="Arial"/>
        </w:rPr>
      </w:pPr>
      <w:r w:rsidRPr="00C86CE3">
        <w:rPr>
          <w:rFonts w:ascii="Palatino Linotype" w:hAnsi="Palatino Linotype" w:cs="Arial"/>
          <w:b/>
          <w:sz w:val="28"/>
          <w:szCs w:val="28"/>
        </w:rPr>
        <w:t>I</w:t>
      </w:r>
      <w:r w:rsidR="00FB4A4A" w:rsidRPr="00C86CE3">
        <w:rPr>
          <w:rFonts w:ascii="Palatino Linotype" w:hAnsi="Palatino Linotype" w:cs="Arial"/>
          <w:b/>
          <w:sz w:val="28"/>
          <w:szCs w:val="28"/>
        </w:rPr>
        <w:t>X</w:t>
      </w:r>
      <w:r w:rsidRPr="00C86CE3">
        <w:rPr>
          <w:rFonts w:ascii="Palatino Linotype" w:hAnsi="Palatino Linotype" w:cs="Arial"/>
          <w:b/>
          <w:sz w:val="28"/>
          <w:szCs w:val="28"/>
        </w:rPr>
        <w:t>.</w:t>
      </w:r>
      <w:r w:rsidRPr="00C86CE3">
        <w:rPr>
          <w:rFonts w:ascii="Palatino Linotype" w:hAnsi="Palatino Linotype" w:cs="Arial"/>
        </w:rPr>
        <w:t xml:space="preserve"> Una vez analizado el estado procesal que guarda el expediente, en fecha </w:t>
      </w:r>
      <w:r w:rsidR="00FB4A4A" w:rsidRPr="00C86CE3">
        <w:rPr>
          <w:rFonts w:ascii="Palatino Linotype" w:hAnsi="Palatino Linotype" w:cs="Arial"/>
        </w:rPr>
        <w:t xml:space="preserve">once de enero de </w:t>
      </w:r>
      <w:r w:rsidRPr="00C86CE3">
        <w:rPr>
          <w:rFonts w:ascii="Palatino Linotype" w:hAnsi="Palatino Linotype"/>
        </w:rPr>
        <w:t>dos mil dieci</w:t>
      </w:r>
      <w:r w:rsidR="00FB4A4A" w:rsidRPr="00C86CE3">
        <w:rPr>
          <w:rFonts w:ascii="Palatino Linotype" w:hAnsi="Palatino Linotype"/>
        </w:rPr>
        <w:t>nueve</w:t>
      </w:r>
      <w:r w:rsidRPr="00C86CE3">
        <w:rPr>
          <w:rFonts w:ascii="Palatino Linotype" w:hAnsi="Palatino Linotype" w:cs="Arial"/>
        </w:rPr>
        <w:t xml:space="preserve">, la Comisionada Ponente acordó el cierre de instrucción, así </w:t>
      </w:r>
      <w:r w:rsidRPr="00C86CE3">
        <w:rPr>
          <w:rFonts w:ascii="Palatino Linotype" w:hAnsi="Palatino Linotype" w:cs="Arial"/>
          <w:lang w:val="es-ES_tradnl"/>
        </w:rPr>
        <w:t>como</w:t>
      </w:r>
      <w:r w:rsidRPr="00C86CE3">
        <w:rPr>
          <w:rFonts w:ascii="Palatino Linotype" w:hAnsi="Palatino Linotype" w:cs="Arial"/>
        </w:rPr>
        <w:t xml:space="preserve"> la remisión del mismo a efecto </w:t>
      </w:r>
      <w:r w:rsidRPr="00C86CE3">
        <w:rPr>
          <w:rFonts w:ascii="Palatino Linotype" w:hAnsi="Palatino Linotype" w:cs="Arial"/>
          <w:lang w:val="es-ES_tradnl"/>
        </w:rPr>
        <w:t>de</w:t>
      </w:r>
      <w:r w:rsidRPr="00C86CE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rsidR="0041633D" w:rsidRPr="00C86CE3" w:rsidRDefault="0041633D" w:rsidP="0041633D">
      <w:pPr>
        <w:spacing w:before="100" w:beforeAutospacing="1" w:after="100" w:afterAutospacing="1" w:line="360" w:lineRule="auto"/>
        <w:jc w:val="center"/>
        <w:rPr>
          <w:rFonts w:ascii="Palatino Linotype" w:hAnsi="Palatino Linotype"/>
          <w:b/>
          <w:bCs/>
          <w:spacing w:val="40"/>
          <w:sz w:val="28"/>
        </w:rPr>
      </w:pPr>
      <w:r w:rsidRPr="00C86CE3">
        <w:rPr>
          <w:rFonts w:ascii="Palatino Linotype" w:hAnsi="Palatino Linotype"/>
          <w:b/>
          <w:bCs/>
          <w:spacing w:val="40"/>
          <w:sz w:val="28"/>
        </w:rPr>
        <w:t>CONSIDERANDO</w:t>
      </w:r>
    </w:p>
    <w:p w:rsidR="0041633D" w:rsidRPr="00C86CE3" w:rsidRDefault="0041633D" w:rsidP="0041633D">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rPr>
      </w:pPr>
      <w:r w:rsidRPr="00C86CE3">
        <w:rPr>
          <w:rFonts w:ascii="Palatino Linotype" w:hAnsi="Palatino Linotype"/>
          <w:b/>
          <w:sz w:val="28"/>
          <w:szCs w:val="28"/>
        </w:rPr>
        <w:t>PRIMERO.</w:t>
      </w:r>
      <w:r w:rsidRPr="00C86CE3">
        <w:rPr>
          <w:rFonts w:ascii="Palatino Linotype" w:hAnsi="Palatino Linotype"/>
          <w:b/>
        </w:rPr>
        <w:t xml:space="preserve"> Competencia</w:t>
      </w:r>
      <w:r w:rsidRPr="00C86CE3">
        <w:rPr>
          <w:rFonts w:ascii="Palatino Linotype" w:hAnsi="Palatino Linotype"/>
        </w:rPr>
        <w:t>.</w:t>
      </w:r>
      <w:r w:rsidRPr="00C86CE3">
        <w:rPr>
          <w:rFonts w:ascii="Palatino Linotype" w:hAnsi="Palatino Linotype"/>
          <w:b/>
        </w:rPr>
        <w:t xml:space="preserve"> </w:t>
      </w:r>
      <w:r w:rsidRPr="00C86CE3">
        <w:rPr>
          <w:rFonts w:ascii="Palatino Linotype" w:hAnsi="Palatino Linotype"/>
        </w:rPr>
        <w:t xml:space="preserve">Este Instituto de Transparencia, Acceso a la Información </w:t>
      </w:r>
      <w:r w:rsidRPr="00C86CE3">
        <w:rPr>
          <w:rFonts w:ascii="Palatino Linotype" w:hAnsi="Palatino Linotype"/>
        </w:rPr>
        <w:lastRenderedPageBreak/>
        <w:t xml:space="preserve">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w:t>
      </w:r>
      <w:r w:rsidR="00FB4A4A" w:rsidRPr="00C86CE3">
        <w:rPr>
          <w:rFonts w:ascii="Palatino Linotype" w:hAnsi="Palatino Linotype"/>
        </w:rPr>
        <w:t>Estado de México y Municipios;</w:t>
      </w:r>
      <w:r w:rsidRPr="00C86CE3">
        <w:rPr>
          <w:rFonts w:ascii="Palatino Linotype" w:hAnsi="Palatino Linotype"/>
        </w:rPr>
        <w:t xml:space="preserve"> 9, fracciones I y XXIV y 11 del Reglamento Interior del Instituto de Transparencia, Acceso a la Información Pública y Protección de Datos Personales del Estado de México y Municipios</w:t>
      </w:r>
      <w:r w:rsidRPr="00C86CE3">
        <w:rPr>
          <w:rFonts w:ascii="Palatino Linotype" w:hAnsi="Palatino Linotype" w:cs="Arial"/>
        </w:rPr>
        <w:t>.</w:t>
      </w:r>
    </w:p>
    <w:p w:rsidR="0041633D" w:rsidRPr="00C86CE3" w:rsidRDefault="0041633D" w:rsidP="0041633D">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C86CE3">
        <w:rPr>
          <w:rFonts w:ascii="Palatino Linotype" w:hAnsi="Palatino Linotype" w:cs="Arial"/>
          <w:b/>
          <w:sz w:val="28"/>
          <w:szCs w:val="28"/>
        </w:rPr>
        <w:t>SEGUNDO.</w:t>
      </w:r>
      <w:r w:rsidRPr="00C86CE3">
        <w:rPr>
          <w:rFonts w:ascii="Palatino Linotype" w:hAnsi="Palatino Linotype" w:cs="Arial"/>
          <w:b/>
        </w:rPr>
        <w:t xml:space="preserve"> Interés.</w:t>
      </w:r>
      <w:r w:rsidRPr="00C86CE3">
        <w:rPr>
          <w:rFonts w:ascii="Palatino Linotype" w:hAnsi="Palatino Linotype" w:cs="Arial"/>
        </w:rPr>
        <w:t xml:space="preserve"> El recurso de revisión fue </w:t>
      </w:r>
      <w:r w:rsidRPr="00C86CE3">
        <w:rPr>
          <w:rFonts w:ascii="Palatino Linotype" w:hAnsi="Palatino Linotype"/>
        </w:rPr>
        <w:t>interpuesto</w:t>
      </w:r>
      <w:r w:rsidRPr="00C86CE3">
        <w:rPr>
          <w:rFonts w:ascii="Palatino Linotype" w:hAnsi="Palatino Linotype" w:cs="Arial"/>
        </w:rPr>
        <w:t xml:space="preserve"> por parte legítima en atención a que fue </w:t>
      </w:r>
      <w:r w:rsidRPr="00C86CE3">
        <w:rPr>
          <w:rFonts w:ascii="Palatino Linotype" w:hAnsi="Palatino Linotype"/>
        </w:rPr>
        <w:t>presentado</w:t>
      </w:r>
      <w:r w:rsidRPr="00C86CE3">
        <w:rPr>
          <w:rFonts w:ascii="Palatino Linotype" w:hAnsi="Palatino Linotype" w:cs="Arial"/>
        </w:rPr>
        <w:t xml:space="preserve"> por </w:t>
      </w:r>
      <w:r w:rsidR="008D2B48" w:rsidRPr="00C86CE3">
        <w:rPr>
          <w:rFonts w:ascii="Palatino Linotype" w:hAnsi="Palatino Linotype" w:cs="Arial"/>
          <w:b/>
        </w:rPr>
        <w:t>LA</w:t>
      </w:r>
      <w:r w:rsidR="00A90F1D" w:rsidRPr="00C86CE3">
        <w:rPr>
          <w:rFonts w:ascii="Palatino Linotype" w:hAnsi="Palatino Linotype" w:cs="Arial"/>
          <w:b/>
        </w:rPr>
        <w:t xml:space="preserve"> RECURRENTE</w:t>
      </w:r>
      <w:r w:rsidRPr="00C86CE3">
        <w:rPr>
          <w:rFonts w:ascii="Palatino Linotype" w:hAnsi="Palatino Linotype" w:cs="Arial"/>
          <w:snapToGrid w:val="0"/>
        </w:rPr>
        <w:t xml:space="preserve">, quien </w:t>
      </w:r>
      <w:r w:rsidRPr="00C86CE3">
        <w:rPr>
          <w:rFonts w:ascii="Palatino Linotype" w:hAnsi="Palatino Linotype"/>
        </w:rPr>
        <w:t>formuló</w:t>
      </w:r>
      <w:r w:rsidRPr="00C86CE3">
        <w:rPr>
          <w:rFonts w:ascii="Palatino Linotype" w:hAnsi="Palatino Linotype" w:cs="Arial"/>
          <w:snapToGrid w:val="0"/>
        </w:rPr>
        <w:t xml:space="preserve"> la </w:t>
      </w:r>
      <w:r w:rsidRPr="00C86CE3">
        <w:rPr>
          <w:rFonts w:ascii="Palatino Linotype" w:hAnsi="Palatino Linotype" w:cs="Arial"/>
        </w:rPr>
        <w:t>solicitud</w:t>
      </w:r>
      <w:r w:rsidRPr="00C86CE3">
        <w:rPr>
          <w:rFonts w:ascii="Palatino Linotype" w:hAnsi="Palatino Linotype" w:cs="Arial"/>
          <w:snapToGrid w:val="0"/>
        </w:rPr>
        <w:t xml:space="preserve"> de información pública </w:t>
      </w:r>
      <w:r w:rsidRPr="00C86CE3">
        <w:rPr>
          <w:rFonts w:ascii="Palatino Linotype" w:hAnsi="Palatino Linotype"/>
        </w:rPr>
        <w:t>número</w:t>
      </w:r>
      <w:r w:rsidRPr="00C86CE3">
        <w:rPr>
          <w:rFonts w:ascii="Palatino Linotype" w:hAnsi="Palatino Linotype" w:cs="Arial"/>
          <w:snapToGrid w:val="0"/>
        </w:rPr>
        <w:t xml:space="preserve"> </w:t>
      </w:r>
      <w:r w:rsidR="008D2B48" w:rsidRPr="00C86CE3">
        <w:rPr>
          <w:rFonts w:ascii="Palatino Linotype" w:hAnsi="Palatino Linotype"/>
          <w:b/>
          <w:bCs/>
        </w:rPr>
        <w:t>00018</w:t>
      </w:r>
      <w:r w:rsidRPr="00C86CE3">
        <w:rPr>
          <w:rFonts w:ascii="Palatino Linotype" w:hAnsi="Palatino Linotype"/>
          <w:b/>
          <w:bCs/>
        </w:rPr>
        <w:t>/</w:t>
      </w:r>
      <w:r w:rsidR="008D2B48" w:rsidRPr="00C86CE3">
        <w:rPr>
          <w:rFonts w:ascii="Palatino Linotype" w:hAnsi="Palatino Linotype"/>
          <w:b/>
          <w:bCs/>
        </w:rPr>
        <w:t>OASHUIXQUI</w:t>
      </w:r>
      <w:r w:rsidRPr="00C86CE3">
        <w:rPr>
          <w:rFonts w:ascii="Palatino Linotype" w:hAnsi="Palatino Linotype"/>
          <w:b/>
          <w:bCs/>
        </w:rPr>
        <w:t>/IP/2018</w:t>
      </w:r>
      <w:r w:rsidRPr="00C86CE3">
        <w:rPr>
          <w:rFonts w:ascii="Palatino Linotype" w:hAnsi="Palatino Linotype" w:cs="Arial"/>
          <w:lang w:val="es-ES_tradnl"/>
        </w:rPr>
        <w:t>.</w:t>
      </w:r>
    </w:p>
    <w:p w:rsidR="008D2B48" w:rsidRPr="00C86CE3" w:rsidRDefault="0041633D" w:rsidP="008D2B48">
      <w:pPr>
        <w:spacing w:before="100" w:beforeAutospacing="1" w:after="100" w:afterAutospacing="1" w:line="360" w:lineRule="auto"/>
        <w:ind w:right="49"/>
        <w:jc w:val="both"/>
        <w:rPr>
          <w:rFonts w:ascii="Palatino Linotype" w:hAnsi="Palatino Linotype" w:cs="Arial"/>
          <w:color w:val="000000"/>
        </w:rPr>
      </w:pPr>
      <w:r w:rsidRPr="00C86CE3">
        <w:rPr>
          <w:rFonts w:ascii="Palatino Linotype" w:hAnsi="Palatino Linotype" w:cs="Arial"/>
          <w:b/>
          <w:sz w:val="28"/>
          <w:szCs w:val="28"/>
        </w:rPr>
        <w:t>TERCERO.</w:t>
      </w:r>
      <w:r w:rsidRPr="00C86CE3">
        <w:rPr>
          <w:rFonts w:ascii="Palatino Linotype" w:hAnsi="Palatino Linotype" w:cs="Arial"/>
          <w:b/>
        </w:rPr>
        <w:t xml:space="preserve"> Oportunidad. </w:t>
      </w:r>
      <w:r w:rsidR="008D2B48" w:rsidRPr="00C86CE3">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8D2B48" w:rsidRPr="00C86CE3" w:rsidRDefault="008D2B48" w:rsidP="008D2B48">
      <w:pPr>
        <w:spacing w:before="100" w:beforeAutospacing="1" w:after="100" w:afterAutospacing="1"/>
        <w:ind w:left="851" w:right="902"/>
        <w:jc w:val="both"/>
        <w:rPr>
          <w:rFonts w:ascii="Palatino Linotype" w:hAnsi="Palatino Linotype" w:cs="Arial"/>
          <w:i/>
          <w:color w:val="000000"/>
          <w:sz w:val="22"/>
          <w:szCs w:val="22"/>
        </w:rPr>
      </w:pPr>
      <w:r w:rsidRPr="00C86CE3">
        <w:rPr>
          <w:rFonts w:ascii="Palatino Linotype" w:hAnsi="Palatino Linotype" w:cs="Arial"/>
          <w:i/>
          <w:color w:val="000000"/>
          <w:sz w:val="22"/>
          <w:szCs w:val="22"/>
        </w:rPr>
        <w:lastRenderedPageBreak/>
        <w:t>“</w:t>
      </w:r>
      <w:r w:rsidRPr="00C86CE3">
        <w:rPr>
          <w:rFonts w:ascii="Palatino Linotype" w:hAnsi="Palatino Linotype" w:cs="Arial"/>
          <w:b/>
          <w:i/>
          <w:color w:val="000000"/>
          <w:sz w:val="22"/>
          <w:szCs w:val="22"/>
        </w:rPr>
        <w:t>Artículo 163.</w:t>
      </w:r>
      <w:r w:rsidRPr="00C86CE3">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8D2B48" w:rsidRPr="00C86CE3" w:rsidRDefault="008D2B48" w:rsidP="008D2B48">
      <w:pPr>
        <w:spacing w:before="100" w:beforeAutospacing="1" w:after="100" w:afterAutospacing="1"/>
        <w:ind w:left="851" w:right="902"/>
        <w:jc w:val="both"/>
        <w:rPr>
          <w:rFonts w:ascii="Palatino Linotype" w:hAnsi="Palatino Linotype" w:cs="Arial"/>
          <w:i/>
          <w:color w:val="000000"/>
          <w:sz w:val="22"/>
          <w:szCs w:val="22"/>
        </w:rPr>
      </w:pPr>
      <w:r w:rsidRPr="00C86CE3">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8D2B48" w:rsidRPr="00C86CE3" w:rsidRDefault="008D2B48" w:rsidP="008D2B48">
      <w:pPr>
        <w:spacing w:before="100" w:beforeAutospacing="1" w:after="100" w:afterAutospacing="1" w:line="360" w:lineRule="auto"/>
        <w:ind w:right="49"/>
        <w:jc w:val="both"/>
        <w:rPr>
          <w:rFonts w:ascii="Palatino Linotype" w:hAnsi="Palatino Linotype" w:cs="Arial"/>
          <w:color w:val="000000"/>
        </w:rPr>
      </w:pPr>
      <w:r w:rsidRPr="00C86CE3">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w:t>
      </w:r>
      <w:r w:rsidR="00B24965" w:rsidRPr="00C86CE3">
        <w:rPr>
          <w:rFonts w:ascii="Palatino Linotype" w:hAnsi="Palatino Linotype" w:cs="Arial"/>
          <w:color w:val="000000"/>
        </w:rPr>
        <w:t>,</w:t>
      </w:r>
      <w:r w:rsidRPr="00C86CE3">
        <w:rPr>
          <w:rFonts w:ascii="Palatino Linotype" w:hAnsi="Palatino Linotype" w:cs="Arial"/>
          <w:color w:val="000000"/>
        </w:rPr>
        <w:t xml:space="preserve"> al solicitante le asiste el derecho para poder presentar el recurso de revisión correspondiente.  </w:t>
      </w:r>
    </w:p>
    <w:p w:rsidR="008D2B48" w:rsidRPr="00C86CE3" w:rsidRDefault="008D2B48" w:rsidP="008D2B48">
      <w:pPr>
        <w:spacing w:before="100" w:beforeAutospacing="1" w:after="100" w:afterAutospacing="1" w:line="360" w:lineRule="auto"/>
        <w:ind w:right="49"/>
        <w:jc w:val="both"/>
        <w:rPr>
          <w:rFonts w:ascii="Palatino Linotype" w:hAnsi="Palatino Linotype" w:cs="Arial"/>
          <w:color w:val="000000"/>
        </w:rPr>
      </w:pPr>
      <w:r w:rsidRPr="00C86CE3">
        <w:rPr>
          <w:rFonts w:ascii="Palatino Linotype" w:hAnsi="Palatino Linotype" w:cs="Arial"/>
          <w:color w:val="000000"/>
        </w:rPr>
        <w:t xml:space="preserve">Derivado de lo anterior, se constituye la figura jurídica de la </w:t>
      </w:r>
      <w:r w:rsidRPr="00C86CE3">
        <w:rPr>
          <w:rFonts w:ascii="Palatino Linotype" w:hAnsi="Palatino Linotype" w:cs="Arial"/>
          <w:b/>
          <w:color w:val="000000"/>
        </w:rPr>
        <w:t>NEGATIVA FICTA</w:t>
      </w:r>
      <w:r w:rsidRPr="00C86CE3">
        <w:rPr>
          <w:rFonts w:ascii="Palatino Linotype" w:hAnsi="Palatino Linotype" w:cs="Arial"/>
          <w:color w:val="000000"/>
        </w:rPr>
        <w:t>, cuya esencia consiste en atribuir un efecto negativo al silencio de la autoridad administrativa frente a las instancias y solicitudes que hagan los particulares.</w:t>
      </w:r>
    </w:p>
    <w:p w:rsidR="008D2B48" w:rsidRPr="00C86CE3" w:rsidRDefault="008D2B48" w:rsidP="008D2B48">
      <w:pPr>
        <w:spacing w:before="100" w:beforeAutospacing="1" w:after="100" w:afterAutospacing="1" w:line="360" w:lineRule="auto"/>
        <w:ind w:right="49"/>
        <w:jc w:val="both"/>
        <w:rPr>
          <w:rFonts w:ascii="Palatino Linotype" w:hAnsi="Palatino Linotype" w:cs="Arial"/>
          <w:color w:val="000000"/>
        </w:rPr>
      </w:pPr>
      <w:r w:rsidRPr="00C86CE3">
        <w:rPr>
          <w:rFonts w:ascii="Palatino Linotype" w:hAnsi="Palatino Linotype" w:cs="Arial"/>
          <w:color w:val="000000"/>
        </w:rPr>
        <w:t>Por su parte, el artículo 178 de la Ley de Transparencia y Acceso a la Información Pública del Estado de México y Municipios, establece:</w:t>
      </w:r>
    </w:p>
    <w:p w:rsidR="008D2B48" w:rsidRPr="00C86CE3" w:rsidRDefault="008D2B48" w:rsidP="008D2B48">
      <w:pPr>
        <w:ind w:left="851" w:right="902"/>
        <w:jc w:val="both"/>
        <w:rPr>
          <w:rFonts w:ascii="Palatino Linotype" w:hAnsi="Palatino Linotype" w:cs="Arial"/>
          <w:i/>
          <w:color w:val="000000"/>
          <w:sz w:val="22"/>
          <w:szCs w:val="22"/>
        </w:rPr>
      </w:pPr>
      <w:r w:rsidRPr="00C86CE3">
        <w:rPr>
          <w:rFonts w:ascii="Palatino Linotype" w:hAnsi="Palatino Linotype" w:cs="Arial"/>
          <w:i/>
          <w:color w:val="000000"/>
          <w:sz w:val="22"/>
          <w:szCs w:val="22"/>
        </w:rPr>
        <w:lastRenderedPageBreak/>
        <w:t>“</w:t>
      </w:r>
      <w:r w:rsidRPr="00C86CE3">
        <w:rPr>
          <w:rFonts w:ascii="Palatino Linotype" w:hAnsi="Palatino Linotype" w:cs="Arial"/>
          <w:b/>
          <w:i/>
          <w:color w:val="000000"/>
          <w:sz w:val="22"/>
          <w:szCs w:val="22"/>
        </w:rPr>
        <w:t xml:space="preserve">Artículo 178. </w:t>
      </w:r>
      <w:r w:rsidRPr="00C86CE3">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D2B48" w:rsidRPr="00C86CE3" w:rsidRDefault="008D2B48" w:rsidP="008D2B48">
      <w:pPr>
        <w:ind w:left="851" w:right="902"/>
        <w:jc w:val="both"/>
        <w:rPr>
          <w:rFonts w:ascii="Palatino Linotype" w:hAnsi="Palatino Linotype" w:cs="Arial"/>
          <w:i/>
          <w:color w:val="000000"/>
          <w:sz w:val="22"/>
          <w:szCs w:val="22"/>
        </w:rPr>
      </w:pPr>
      <w:r w:rsidRPr="00C86CE3">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C86CE3">
        <w:rPr>
          <w:rFonts w:ascii="Palatino Linotype" w:hAnsi="Palatino Linotype" w:cs="Arial"/>
          <w:i/>
          <w:color w:val="000000"/>
          <w:sz w:val="22"/>
          <w:szCs w:val="22"/>
        </w:rPr>
        <w:t>, acompañado con el documento que pruebe la fecha en que presentó la solicitud.</w:t>
      </w:r>
    </w:p>
    <w:p w:rsidR="008D2B48" w:rsidRPr="00C86CE3" w:rsidRDefault="008D2B48" w:rsidP="008D2B48">
      <w:pPr>
        <w:ind w:left="851" w:right="902"/>
        <w:jc w:val="both"/>
        <w:rPr>
          <w:rFonts w:ascii="Palatino Linotype" w:hAnsi="Palatino Linotype" w:cs="Arial"/>
          <w:i/>
          <w:color w:val="000000"/>
          <w:sz w:val="22"/>
          <w:szCs w:val="22"/>
        </w:rPr>
      </w:pPr>
      <w:r w:rsidRPr="00C86CE3">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(Énfasis añadido)</w:t>
      </w:r>
    </w:p>
    <w:p w:rsidR="008D2B48" w:rsidRPr="00C86CE3" w:rsidRDefault="008D2B48" w:rsidP="008D2B48">
      <w:pPr>
        <w:spacing w:before="100" w:beforeAutospacing="1" w:after="100" w:afterAutospacing="1" w:line="360" w:lineRule="auto"/>
        <w:ind w:right="49"/>
        <w:jc w:val="both"/>
        <w:rPr>
          <w:rFonts w:ascii="Palatino Linotype" w:hAnsi="Palatino Linotype" w:cs="Arial"/>
          <w:color w:val="000000"/>
        </w:rPr>
      </w:pPr>
      <w:r w:rsidRPr="00C86CE3">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C86CE3">
        <w:rPr>
          <w:rFonts w:ascii="Palatino Linotype" w:hAnsi="Palatino Linotype" w:cs="Arial"/>
          <w:b/>
          <w:color w:val="000000"/>
        </w:rPr>
        <w:t>SUJETO OBLIGADO</w:t>
      </w:r>
      <w:r w:rsidRPr="00C86CE3">
        <w:rPr>
          <w:rFonts w:ascii="Palatino Linotype" w:hAnsi="Palatino Linotype" w:cs="Arial"/>
          <w:color w:val="000000"/>
        </w:rPr>
        <w:t xml:space="preserve">; sin embargo, tratándose de negativa ficta no existe resolución que se haga del conocimiento </w:t>
      </w:r>
      <w:r w:rsidR="0076145D" w:rsidRPr="00C86CE3">
        <w:rPr>
          <w:rFonts w:ascii="Palatino Linotype" w:hAnsi="Palatino Linotype" w:cs="Arial"/>
          <w:color w:val="000000"/>
        </w:rPr>
        <w:t xml:space="preserve">de </w:t>
      </w:r>
      <w:r w:rsidR="00775889" w:rsidRPr="00C86CE3">
        <w:rPr>
          <w:rFonts w:ascii="Palatino Linotype" w:hAnsi="Palatino Linotype" w:cs="Arial"/>
          <w:color w:val="000000"/>
        </w:rPr>
        <w:t>la particular</w:t>
      </w:r>
      <w:r w:rsidRPr="00C86CE3">
        <w:rPr>
          <w:rFonts w:ascii="Palatino Linotype" w:hAnsi="Palatino Linotype" w:cs="Arial"/>
          <w:color w:val="000000"/>
        </w:rPr>
        <w:t xml:space="preserve"> a partir de la cual pueda computarse dicho plazo, por tal motivo es pertinente establecer que no existe plazo para la interposición del recurso de revisión. </w:t>
      </w:r>
    </w:p>
    <w:p w:rsidR="008D2B48" w:rsidRPr="00C86CE3" w:rsidRDefault="008D2B48" w:rsidP="008D2B48">
      <w:pPr>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t xml:space="preserve">Ello, encuentra sustento en el Criterio de Interpretación en el orden administrativo número </w:t>
      </w:r>
      <w:r w:rsidRPr="00C86CE3">
        <w:rPr>
          <w:rFonts w:ascii="Palatino Linotype" w:hAnsi="Palatino Linotype" w:cs="Arial"/>
          <w:b/>
        </w:rPr>
        <w:t xml:space="preserve">001-15, </w:t>
      </w:r>
      <w:r w:rsidRPr="00C86CE3">
        <w:rPr>
          <w:rFonts w:ascii="Palatino Linotype" w:hAnsi="Palatino Linotype" w:cs="Arial"/>
        </w:rPr>
        <w:t xml:space="preserve">emitido por el Pleno del Instituto de Transparencia y Acceso a la Información Pública del Estado de México y Municipios, en la Sexta Sesión Ordinaria, celebrada el diecisiete de febrero del dos mil quince, relativo a la interposición del </w:t>
      </w:r>
      <w:r w:rsidRPr="00C86CE3">
        <w:rPr>
          <w:rFonts w:ascii="Palatino Linotype" w:hAnsi="Palatino Linotype" w:cs="Arial"/>
        </w:rPr>
        <w:lastRenderedPageBreak/>
        <w:t>recurso de revisión en cualquier tiempo cuando exista negativa ficta, que es del tenor literal siguiente:</w:t>
      </w:r>
    </w:p>
    <w:p w:rsidR="008D2B48" w:rsidRPr="00C86CE3" w:rsidRDefault="008D2B48" w:rsidP="008D2B48">
      <w:pPr>
        <w:spacing w:before="100" w:beforeAutospacing="1" w:after="100" w:afterAutospacing="1"/>
        <w:ind w:left="851" w:right="899"/>
        <w:jc w:val="center"/>
        <w:rPr>
          <w:rFonts w:ascii="Palatino Linotype" w:hAnsi="Palatino Linotype" w:cs="Arial"/>
          <w:sz w:val="22"/>
          <w:szCs w:val="22"/>
        </w:rPr>
      </w:pPr>
      <w:r w:rsidRPr="00C86CE3">
        <w:rPr>
          <w:rFonts w:ascii="Palatino Linotype" w:hAnsi="Palatino Linotype" w:cs="Arial"/>
          <w:b/>
          <w:sz w:val="22"/>
          <w:szCs w:val="22"/>
        </w:rPr>
        <w:t>“</w:t>
      </w:r>
      <w:r w:rsidRPr="00C86CE3">
        <w:rPr>
          <w:rFonts w:ascii="Palatino Linotype" w:hAnsi="Palatino Linotype" w:cs="Arial"/>
          <w:sz w:val="22"/>
          <w:szCs w:val="22"/>
        </w:rPr>
        <w:t>Criterio 0001-15</w:t>
      </w:r>
    </w:p>
    <w:p w:rsidR="008D2B48" w:rsidRPr="00C86CE3" w:rsidRDefault="008D2B48" w:rsidP="008D2B48">
      <w:pPr>
        <w:spacing w:before="100" w:beforeAutospacing="1" w:after="100" w:afterAutospacing="1"/>
        <w:ind w:left="851" w:right="899"/>
        <w:jc w:val="both"/>
        <w:rPr>
          <w:rFonts w:ascii="Palatino Linotype" w:hAnsi="Palatino Linotype" w:cs="Arial"/>
          <w:b/>
          <w:i/>
        </w:rPr>
      </w:pPr>
      <w:r w:rsidRPr="00C86CE3">
        <w:rPr>
          <w:rFonts w:ascii="Palatino Linotype" w:hAnsi="Palatino Linotype" w:cs="Arial"/>
          <w:b/>
          <w:i/>
          <w:sz w:val="22"/>
          <w:szCs w:val="22"/>
        </w:rPr>
        <w:t>NEGATIVA FICTA. PLAZO PARA INTERPONER EL RECURSO DE REVISIÓN TRATÁNDOSE DE.</w:t>
      </w:r>
      <w:r w:rsidRPr="00C86CE3">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C86CE3">
        <w:rPr>
          <w:rFonts w:ascii="Palatino Linotype" w:hAnsi="Palatino Linotype" w:cs="Arial"/>
          <w:b/>
          <w:i/>
          <w:sz w:val="22"/>
          <w:szCs w:val="22"/>
        </w:rPr>
        <w:t xml:space="preserve">” </w:t>
      </w:r>
      <w:r w:rsidRPr="00C86CE3">
        <w:rPr>
          <w:rFonts w:ascii="Palatino Linotype" w:hAnsi="Palatino Linotype" w:cs="Arial"/>
          <w:i/>
          <w:sz w:val="22"/>
          <w:szCs w:val="22"/>
        </w:rPr>
        <w:t>(Sic)</w:t>
      </w:r>
    </w:p>
    <w:p w:rsidR="0041633D" w:rsidRPr="00C86CE3" w:rsidRDefault="0041633D" w:rsidP="008D2B48">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szCs w:val="28"/>
        </w:rPr>
      </w:pPr>
      <w:r w:rsidRPr="00C86CE3">
        <w:rPr>
          <w:rFonts w:ascii="Palatino Linotype" w:hAnsi="Palatino Linotype" w:cs="Arial"/>
          <w:b/>
          <w:sz w:val="28"/>
          <w:szCs w:val="28"/>
        </w:rPr>
        <w:t>CUARTO.</w:t>
      </w:r>
      <w:r w:rsidRPr="00C86CE3">
        <w:rPr>
          <w:rFonts w:ascii="Palatino Linotype" w:hAnsi="Palatino Linotype" w:cs="Arial"/>
          <w:b/>
          <w:szCs w:val="28"/>
        </w:rPr>
        <w:t xml:space="preserve"> Procedibilidad. </w:t>
      </w:r>
      <w:r w:rsidRPr="00C86CE3">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C86CE3">
        <w:rPr>
          <w:rFonts w:ascii="Palatino Linotype" w:hAnsi="Palatino Linotype" w:cs="Arial"/>
          <w:b/>
          <w:szCs w:val="28"/>
        </w:rPr>
        <w:t>SAIMEX</w:t>
      </w:r>
      <w:r w:rsidRPr="00C86CE3">
        <w:rPr>
          <w:rFonts w:ascii="Palatino Linotype" w:hAnsi="Palatino Linotype" w:cs="Arial"/>
          <w:szCs w:val="28"/>
        </w:rPr>
        <w:t xml:space="preserve">. </w:t>
      </w:r>
    </w:p>
    <w:p w:rsidR="008D2B48" w:rsidRPr="00C86CE3" w:rsidRDefault="008D2B48" w:rsidP="008D2B48">
      <w:pPr>
        <w:autoSpaceDE w:val="0"/>
        <w:autoSpaceDN w:val="0"/>
        <w:adjustRightInd w:val="0"/>
        <w:spacing w:before="100" w:beforeAutospacing="1" w:after="100" w:afterAutospacing="1" w:line="360" w:lineRule="auto"/>
        <w:ind w:right="49"/>
        <w:jc w:val="both"/>
        <w:rPr>
          <w:rFonts w:ascii="Palatino Linotype" w:hAnsi="Palatino Linotype" w:cs="Arial"/>
        </w:rPr>
      </w:pPr>
      <w:r w:rsidRPr="00C86CE3">
        <w:rPr>
          <w:rFonts w:ascii="Palatino Linotype" w:hAnsi="Palatino Linotype" w:cs="Arial"/>
          <w:b/>
          <w:sz w:val="28"/>
          <w:szCs w:val="28"/>
        </w:rPr>
        <w:lastRenderedPageBreak/>
        <w:t>QUINTO.</w:t>
      </w:r>
      <w:r w:rsidRPr="00C86CE3">
        <w:rPr>
          <w:rFonts w:ascii="Palatino Linotype" w:hAnsi="Palatino Linotype" w:cs="Arial"/>
          <w:b/>
        </w:rPr>
        <w:t xml:space="preserve"> Estudio y resolución del asunto</w:t>
      </w:r>
      <w:r w:rsidRPr="00C86CE3">
        <w:rPr>
          <w:rFonts w:ascii="Palatino Linotype" w:hAnsi="Palatino Linotype"/>
          <w:b/>
        </w:rPr>
        <w:t>.</w:t>
      </w:r>
      <w:r w:rsidRPr="00C86CE3">
        <w:rPr>
          <w:rFonts w:ascii="Palatino Linotype" w:hAnsi="Palatino Linotype" w:cs="Arial"/>
          <w:b/>
          <w:color w:val="000000" w:themeColor="text1"/>
        </w:rPr>
        <w:t xml:space="preserve"> </w:t>
      </w:r>
      <w:r w:rsidRPr="00C86CE3">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8D2B48" w:rsidRPr="00C86CE3" w:rsidRDefault="008D2B48" w:rsidP="008D2B48">
      <w:pPr>
        <w:ind w:left="851" w:right="902"/>
        <w:jc w:val="both"/>
        <w:rPr>
          <w:rFonts w:ascii="Palatino Linotype" w:hAnsi="Palatino Linotype" w:cs="Arial"/>
          <w:bCs/>
          <w:i/>
          <w:sz w:val="22"/>
          <w:szCs w:val="22"/>
        </w:rPr>
      </w:pPr>
      <w:r w:rsidRPr="00C86CE3">
        <w:rPr>
          <w:rFonts w:ascii="Palatino Linotype" w:hAnsi="Palatino Linotype" w:cs="Arial"/>
          <w:bCs/>
          <w:i/>
          <w:sz w:val="22"/>
          <w:szCs w:val="22"/>
        </w:rPr>
        <w:t>“</w:t>
      </w:r>
      <w:r w:rsidRPr="00C86CE3">
        <w:rPr>
          <w:rFonts w:ascii="Palatino Linotype" w:hAnsi="Palatino Linotype" w:cs="Arial"/>
          <w:b/>
          <w:bCs/>
          <w:i/>
          <w:sz w:val="22"/>
          <w:szCs w:val="22"/>
        </w:rPr>
        <w:t>Artículo 179.</w:t>
      </w:r>
      <w:r w:rsidRPr="00C86CE3">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8D2B48" w:rsidRPr="00C86CE3" w:rsidRDefault="008D2B48" w:rsidP="008D2B48">
      <w:pPr>
        <w:ind w:left="851" w:right="902"/>
        <w:jc w:val="both"/>
        <w:rPr>
          <w:rFonts w:ascii="Palatino Linotype" w:hAnsi="Palatino Linotype" w:cs="Arial"/>
          <w:bCs/>
          <w:i/>
          <w:sz w:val="22"/>
          <w:szCs w:val="22"/>
        </w:rPr>
      </w:pPr>
      <w:r w:rsidRPr="00C86CE3">
        <w:rPr>
          <w:rFonts w:ascii="Palatino Linotype" w:hAnsi="Palatino Linotype" w:cs="Arial"/>
          <w:b/>
          <w:bCs/>
          <w:i/>
          <w:sz w:val="22"/>
          <w:szCs w:val="22"/>
        </w:rPr>
        <w:t>…</w:t>
      </w:r>
    </w:p>
    <w:p w:rsidR="008D2B48" w:rsidRPr="00C86CE3" w:rsidRDefault="008D2B48" w:rsidP="008D2B48">
      <w:pPr>
        <w:ind w:left="851" w:right="902"/>
        <w:jc w:val="both"/>
        <w:rPr>
          <w:rFonts w:ascii="Palatino Linotype" w:hAnsi="Palatino Linotype" w:cs="Arial"/>
          <w:b/>
          <w:bCs/>
          <w:i/>
          <w:sz w:val="22"/>
          <w:szCs w:val="22"/>
        </w:rPr>
      </w:pPr>
      <w:r w:rsidRPr="00C86CE3">
        <w:rPr>
          <w:rFonts w:ascii="Palatino Linotype" w:hAnsi="Palatino Linotype" w:cs="Arial"/>
          <w:b/>
          <w:bCs/>
          <w:i/>
          <w:sz w:val="22"/>
          <w:szCs w:val="22"/>
        </w:rPr>
        <w:t>VII. La falta de respuesta a una solicitud de acceso a la información;</w:t>
      </w:r>
    </w:p>
    <w:p w:rsidR="008D2B48" w:rsidRPr="00C86CE3" w:rsidRDefault="008D2B48" w:rsidP="008D2B48">
      <w:pPr>
        <w:ind w:left="851" w:right="902"/>
        <w:jc w:val="both"/>
        <w:rPr>
          <w:rFonts w:ascii="Palatino Linotype" w:hAnsi="Palatino Linotype" w:cs="Arial"/>
          <w:b/>
          <w:bCs/>
          <w:i/>
          <w:sz w:val="22"/>
          <w:szCs w:val="22"/>
        </w:rPr>
      </w:pPr>
      <w:r w:rsidRPr="00C86CE3">
        <w:rPr>
          <w:rFonts w:ascii="Palatino Linotype" w:hAnsi="Palatino Linotype" w:cs="Arial"/>
          <w:b/>
          <w:bCs/>
          <w:i/>
          <w:sz w:val="22"/>
          <w:szCs w:val="22"/>
        </w:rPr>
        <w:t>…</w:t>
      </w:r>
      <w:r w:rsidRPr="00C86CE3">
        <w:rPr>
          <w:rFonts w:ascii="Palatino Linotype" w:hAnsi="Palatino Linotype" w:cs="Arial"/>
          <w:bCs/>
          <w:i/>
          <w:sz w:val="22"/>
          <w:szCs w:val="22"/>
        </w:rPr>
        <w:t>”</w:t>
      </w:r>
      <w:r w:rsidRPr="00C86CE3">
        <w:rPr>
          <w:rFonts w:ascii="Palatino Linotype" w:hAnsi="Palatino Linotype" w:cs="Arial"/>
          <w:b/>
          <w:bCs/>
          <w:i/>
          <w:sz w:val="22"/>
          <w:szCs w:val="22"/>
        </w:rPr>
        <w:t xml:space="preserve"> </w:t>
      </w:r>
    </w:p>
    <w:p w:rsidR="008D2B48" w:rsidRPr="00C86CE3" w:rsidRDefault="008D2B48" w:rsidP="008D2B48">
      <w:pPr>
        <w:ind w:left="851" w:right="902"/>
        <w:jc w:val="both"/>
        <w:rPr>
          <w:rFonts w:ascii="Palatino Linotype" w:hAnsi="Palatino Linotype" w:cs="Arial"/>
          <w:b/>
          <w:bCs/>
          <w:i/>
          <w:sz w:val="22"/>
          <w:szCs w:val="22"/>
        </w:rPr>
      </w:pPr>
      <w:r w:rsidRPr="00C86CE3">
        <w:rPr>
          <w:rFonts w:ascii="Palatino Linotype" w:hAnsi="Palatino Linotype" w:cs="Arial"/>
          <w:bCs/>
          <w:i/>
          <w:sz w:val="22"/>
          <w:szCs w:val="22"/>
        </w:rPr>
        <w:t>(Énfasis añadido)</w:t>
      </w:r>
    </w:p>
    <w:p w:rsidR="008D2B48" w:rsidRPr="00C86CE3" w:rsidRDefault="008D2B48" w:rsidP="008D2B48">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C86CE3">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C86CE3">
        <w:rPr>
          <w:rFonts w:ascii="Palatino Linotype" w:hAnsi="Palatino Linotype" w:cs="Arial"/>
          <w:b/>
        </w:rPr>
        <w:t>EL SUJETO OBLIGADO</w:t>
      </w:r>
      <w:r w:rsidRPr="00C86CE3">
        <w:rPr>
          <w:rFonts w:ascii="Palatino Linotype" w:hAnsi="Palatino Linotype" w:cs="Arial"/>
        </w:rPr>
        <w:t xml:space="preserve"> omitió dar respuesta a lo requerido por </w:t>
      </w:r>
      <w:r w:rsidRPr="00C86CE3">
        <w:rPr>
          <w:rFonts w:ascii="Palatino Linotype" w:hAnsi="Palatino Linotype" w:cs="Arial"/>
          <w:b/>
        </w:rPr>
        <w:t>LA</w:t>
      </w:r>
      <w:r w:rsidR="00A90F1D" w:rsidRPr="00C86CE3">
        <w:rPr>
          <w:rFonts w:ascii="Palatino Linotype" w:hAnsi="Palatino Linotype" w:cs="Arial"/>
          <w:b/>
        </w:rPr>
        <w:t xml:space="preserve"> RECURRENTE</w:t>
      </w:r>
      <w:r w:rsidRPr="00C86CE3">
        <w:rPr>
          <w:rFonts w:ascii="Palatino Linotype" w:hAnsi="Palatino Linotype" w:cs="Arial"/>
        </w:rPr>
        <w:t>.</w:t>
      </w:r>
      <w:r w:rsidRPr="00C86CE3">
        <w:rPr>
          <w:rFonts w:ascii="Palatino Linotype" w:hAnsi="Palatino Linotype" w:cs="Arial"/>
          <w:b/>
        </w:rPr>
        <w:t xml:space="preserve"> </w:t>
      </w:r>
    </w:p>
    <w:p w:rsidR="008D2B48" w:rsidRPr="00C86CE3" w:rsidRDefault="008D2B48" w:rsidP="008D2B48">
      <w:pPr>
        <w:autoSpaceDE w:val="0"/>
        <w:autoSpaceDN w:val="0"/>
        <w:adjustRightInd w:val="0"/>
        <w:spacing w:before="100" w:beforeAutospacing="1" w:after="100" w:afterAutospacing="1" w:line="360" w:lineRule="auto"/>
        <w:ind w:right="49"/>
        <w:jc w:val="both"/>
        <w:rPr>
          <w:rFonts w:ascii="Palatino Linotype" w:hAnsi="Palatino Linotype"/>
        </w:rPr>
      </w:pPr>
      <w:r w:rsidRPr="00C86CE3">
        <w:rPr>
          <w:rFonts w:ascii="Palatino Linotype" w:hAnsi="Palatino Linotype" w:cs="Arial"/>
        </w:rPr>
        <w:t>Una vez determinada la vía sobre la que versará el presente asunto y previa revisión del expediente electrónico formado en el</w:t>
      </w:r>
      <w:r w:rsidRPr="00C86CE3">
        <w:rPr>
          <w:rFonts w:ascii="Palatino Linotype" w:hAnsi="Palatino Linotype" w:cs="Arial"/>
          <w:b/>
        </w:rPr>
        <w:t xml:space="preserve"> SAIMEX</w:t>
      </w:r>
      <w:r w:rsidRPr="00C86CE3">
        <w:rPr>
          <w:rFonts w:ascii="Palatino Linotype" w:hAnsi="Palatino Linotype" w:cs="Arial"/>
        </w:rPr>
        <w:t xml:space="preserve"> por motivo de la solicitud de información y del recurso a que da origen, </w:t>
      </w:r>
      <w:r w:rsidRPr="00C86CE3">
        <w:rPr>
          <w:rFonts w:ascii="Palatino Linotype" w:hAnsi="Palatino Linotype"/>
        </w:rPr>
        <w:t xml:space="preserve">se observa la configuración de la </w:t>
      </w:r>
      <w:r w:rsidRPr="00C86CE3">
        <w:rPr>
          <w:rFonts w:ascii="Palatino Linotype" w:hAnsi="Palatino Linotype"/>
          <w:b/>
        </w:rPr>
        <w:t>NEGATIVA FICTA</w:t>
      </w:r>
      <w:r w:rsidRPr="00C86CE3">
        <w:rPr>
          <w:rFonts w:ascii="Palatino Linotype" w:hAnsi="Palatino Linotype"/>
          <w:i/>
        </w:rPr>
        <w:t xml:space="preserve">; </w:t>
      </w:r>
      <w:r w:rsidRPr="00C86CE3">
        <w:rPr>
          <w:rFonts w:ascii="Palatino Linotype" w:hAnsi="Palatino Linotype"/>
        </w:rPr>
        <w:t xml:space="preserve">ello, en virtud de que </w:t>
      </w:r>
      <w:r w:rsidRPr="00C86CE3">
        <w:rPr>
          <w:rFonts w:ascii="Palatino Linotype" w:hAnsi="Palatino Linotype"/>
          <w:b/>
        </w:rPr>
        <w:t>EL SUJETO OBLIGADO</w:t>
      </w:r>
      <w:r w:rsidRPr="00C86CE3">
        <w:rPr>
          <w:rFonts w:ascii="Palatino Linotype" w:hAnsi="Palatino Linotype"/>
        </w:rPr>
        <w:t xml:space="preserve"> no respondió a la solicitud requerida, dentro del plazo legal previsto para ello.</w:t>
      </w:r>
    </w:p>
    <w:p w:rsidR="008D2B48" w:rsidRPr="00C86CE3" w:rsidRDefault="008D2B48" w:rsidP="008D2B48">
      <w:pPr>
        <w:spacing w:before="100" w:beforeAutospacing="1" w:after="100" w:afterAutospacing="1" w:line="360" w:lineRule="auto"/>
        <w:jc w:val="both"/>
        <w:rPr>
          <w:rFonts w:ascii="Palatino Linotype" w:hAnsi="Palatino Linotype"/>
        </w:rPr>
      </w:pPr>
      <w:r w:rsidRPr="00C86CE3">
        <w:rPr>
          <w:rFonts w:ascii="Palatino Linotype" w:hAnsi="Palatino Linotype"/>
        </w:rPr>
        <w:lastRenderedPageBreak/>
        <w:t xml:space="preserve">Previo a exponer los argumentos que justifiquen la afirmación que antecede, primeramente es importante recordar que la particular solicitó del </w:t>
      </w:r>
      <w:r w:rsidRPr="00C86CE3">
        <w:rPr>
          <w:rFonts w:ascii="Palatino Linotype" w:hAnsi="Palatino Linotype"/>
          <w:b/>
        </w:rPr>
        <w:t xml:space="preserve">SUJETO OBLIGADO </w:t>
      </w:r>
      <w:r w:rsidRPr="00C86CE3">
        <w:rPr>
          <w:rFonts w:ascii="Palatino Linotype" w:hAnsi="Palatino Linotype"/>
        </w:rPr>
        <w:t>la relación de tapas de registro, tapas  de a</w:t>
      </w:r>
      <w:r w:rsidR="00B24965" w:rsidRPr="00C86CE3">
        <w:rPr>
          <w:rFonts w:ascii="Palatino Linotype" w:hAnsi="Palatino Linotype"/>
        </w:rPr>
        <w:t>lcantarilla y/o similares que hubiera</w:t>
      </w:r>
      <w:r w:rsidRPr="00C86CE3">
        <w:rPr>
          <w:rFonts w:ascii="Palatino Linotype" w:hAnsi="Palatino Linotype"/>
        </w:rPr>
        <w:t xml:space="preserve"> adquirido</w:t>
      </w:r>
      <w:r w:rsidR="00B24965" w:rsidRPr="00C86CE3">
        <w:rPr>
          <w:rFonts w:ascii="Palatino Linotype" w:hAnsi="Palatino Linotype"/>
        </w:rPr>
        <w:t xml:space="preserve"> éste</w:t>
      </w:r>
      <w:r w:rsidR="00781220" w:rsidRPr="00C86CE3">
        <w:rPr>
          <w:rFonts w:ascii="Palatino Linotype" w:hAnsi="Palatino Linotype"/>
        </w:rPr>
        <w:t>,</w:t>
      </w:r>
      <w:r w:rsidRPr="00C86CE3">
        <w:rPr>
          <w:rFonts w:ascii="Palatino Linotype" w:hAnsi="Palatino Linotype"/>
        </w:rPr>
        <w:t xml:space="preserve"> durante los años 2016, 2017 y 2018, en donde se incluya el precio unitario con el </w:t>
      </w:r>
      <w:r w:rsidR="00781220" w:rsidRPr="00C86CE3">
        <w:rPr>
          <w:rFonts w:ascii="Palatino Linotype" w:hAnsi="Palatino Linotype"/>
        </w:rPr>
        <w:t xml:space="preserve">Impuesto </w:t>
      </w:r>
      <w:r w:rsidRPr="00C86CE3">
        <w:rPr>
          <w:rFonts w:ascii="Palatino Linotype" w:hAnsi="Palatino Linotype"/>
        </w:rPr>
        <w:t xml:space="preserve">al </w:t>
      </w:r>
      <w:r w:rsidR="00781220" w:rsidRPr="00C86CE3">
        <w:rPr>
          <w:rFonts w:ascii="Palatino Linotype" w:hAnsi="Palatino Linotype"/>
        </w:rPr>
        <w:t>Valor Agregado</w:t>
      </w:r>
      <w:r w:rsidRPr="00C86CE3">
        <w:rPr>
          <w:rFonts w:ascii="Palatino Linotype" w:hAnsi="Palatino Linotype"/>
        </w:rPr>
        <w:t>, nombre del proveedor y la ubicación en donde se instaló cada una.</w:t>
      </w:r>
    </w:p>
    <w:p w:rsidR="00C16AA1" w:rsidRPr="00C86CE3" w:rsidRDefault="00C16AA1" w:rsidP="00FD53E1">
      <w:pPr>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t xml:space="preserve">Al respecto, </w:t>
      </w:r>
      <w:r w:rsidRPr="00C86CE3">
        <w:rPr>
          <w:rFonts w:ascii="Palatino Linotype" w:hAnsi="Palatino Linotype" w:cs="Arial"/>
          <w:b/>
        </w:rPr>
        <w:t xml:space="preserve">EL SUJETO OBLIGADO </w:t>
      </w:r>
      <w:r w:rsidRPr="00C86CE3">
        <w:rPr>
          <w:rFonts w:ascii="Palatino Linotype" w:hAnsi="Palatino Linotype" w:cs="Arial"/>
        </w:rPr>
        <w:t xml:space="preserve">requirió a la particular completar, corregir o ampliar los datos de su solicitud de información, requerimiento que no fue atendido por </w:t>
      </w:r>
      <w:r w:rsidR="00FD53E1" w:rsidRPr="00C86CE3">
        <w:rPr>
          <w:rFonts w:ascii="Palatino Linotype" w:hAnsi="Palatino Linotype" w:cs="Arial"/>
          <w:b/>
        </w:rPr>
        <w:t>LA</w:t>
      </w:r>
      <w:r w:rsidR="00A90F1D" w:rsidRPr="00C86CE3">
        <w:rPr>
          <w:rFonts w:ascii="Palatino Linotype" w:hAnsi="Palatino Linotype" w:cs="Arial"/>
          <w:b/>
        </w:rPr>
        <w:t xml:space="preserve"> RECURRENTE</w:t>
      </w:r>
      <w:r w:rsidRPr="00C86CE3">
        <w:rPr>
          <w:rFonts w:ascii="Palatino Linotype" w:hAnsi="Palatino Linotype" w:cs="Arial"/>
          <w:b/>
        </w:rPr>
        <w:t xml:space="preserve">, </w:t>
      </w:r>
      <w:r w:rsidRPr="00C86CE3">
        <w:rPr>
          <w:rFonts w:ascii="Palatino Linotype" w:hAnsi="Palatino Linotype" w:cs="Arial"/>
        </w:rPr>
        <w:t>tal como ya qu</w:t>
      </w:r>
      <w:r w:rsidR="00FD53E1" w:rsidRPr="00C86CE3">
        <w:rPr>
          <w:rFonts w:ascii="Palatino Linotype" w:hAnsi="Palatino Linotype" w:cs="Arial"/>
        </w:rPr>
        <w:t>edó plasmado en el Resultando IV</w:t>
      </w:r>
      <w:r w:rsidRPr="00C86CE3">
        <w:rPr>
          <w:rFonts w:ascii="Palatino Linotype" w:hAnsi="Palatino Linotype" w:cs="Arial"/>
        </w:rPr>
        <w:t xml:space="preserve"> de la presente resolución, teniendo </w:t>
      </w:r>
      <w:r w:rsidRPr="00C86CE3">
        <w:rPr>
          <w:rFonts w:ascii="Palatino Linotype" w:hAnsi="Palatino Linotype" w:cs="Arial"/>
          <w:b/>
        </w:rPr>
        <w:t xml:space="preserve">EL SUJETO OBLIGADO, </w:t>
      </w:r>
      <w:r w:rsidRPr="00C86CE3">
        <w:rPr>
          <w:rFonts w:ascii="Palatino Linotype" w:hAnsi="Palatino Linotype" w:cs="Arial"/>
        </w:rPr>
        <w:t>por no presentada dicha solicitud de información en términos del artículo 159 de la Ley de la materia.</w:t>
      </w:r>
    </w:p>
    <w:p w:rsidR="00FD53E1" w:rsidRPr="00C86CE3" w:rsidRDefault="00FD53E1" w:rsidP="00FD53E1">
      <w:pPr>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t xml:space="preserve">En ese tenor, </w:t>
      </w:r>
      <w:r w:rsidRPr="00C86CE3">
        <w:rPr>
          <w:rFonts w:ascii="Palatino Linotype" w:hAnsi="Palatino Linotype" w:cs="Arial"/>
          <w:b/>
        </w:rPr>
        <w:t>LA</w:t>
      </w:r>
      <w:r w:rsidR="00A90F1D" w:rsidRPr="00C86CE3">
        <w:rPr>
          <w:rFonts w:ascii="Palatino Linotype" w:hAnsi="Palatino Linotype" w:cs="Arial"/>
          <w:b/>
        </w:rPr>
        <w:t xml:space="preserve"> RECURRENTE</w:t>
      </w:r>
      <w:r w:rsidRPr="00C86CE3">
        <w:rPr>
          <w:rFonts w:ascii="Palatino Linotype" w:hAnsi="Palatino Linotype" w:cs="Arial"/>
          <w:b/>
        </w:rPr>
        <w:t xml:space="preserve">, </w:t>
      </w:r>
      <w:r w:rsidRPr="00C86CE3">
        <w:rPr>
          <w:rFonts w:ascii="Palatino Linotype" w:hAnsi="Palatino Linotype" w:cs="Arial"/>
        </w:rPr>
        <w:t>inconforme con dicha determinación interpuso el recurso de revisión de mérito</w:t>
      </w:r>
      <w:r w:rsidR="00781220" w:rsidRPr="00C86CE3">
        <w:rPr>
          <w:rFonts w:ascii="Palatino Linotype" w:hAnsi="Palatino Linotype" w:cs="Arial"/>
        </w:rPr>
        <w:t>,</w:t>
      </w:r>
      <w:r w:rsidRPr="00C86CE3">
        <w:rPr>
          <w:rFonts w:ascii="Palatino Linotype" w:hAnsi="Palatino Linotype" w:cs="Arial"/>
        </w:rPr>
        <w:t xml:space="preserve"> en el que señaló como acto impugnado y razones o motivos de inconformidad lo expuesto en el Resultando V de la presente resolución.</w:t>
      </w:r>
    </w:p>
    <w:p w:rsidR="00FD53E1" w:rsidRPr="00C86CE3" w:rsidRDefault="00FD53E1" w:rsidP="00FD53E1">
      <w:pPr>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t xml:space="preserve">Así, una vez admitido el recurso de revisión en estudio, </w:t>
      </w:r>
      <w:r w:rsidRPr="00C86CE3">
        <w:rPr>
          <w:rFonts w:ascii="Palatino Linotype" w:hAnsi="Palatino Linotype" w:cs="Arial"/>
          <w:b/>
        </w:rPr>
        <w:t>LA</w:t>
      </w:r>
      <w:r w:rsidR="00A90F1D" w:rsidRPr="00C86CE3">
        <w:rPr>
          <w:rFonts w:ascii="Palatino Linotype" w:hAnsi="Palatino Linotype" w:cs="Arial"/>
          <w:b/>
        </w:rPr>
        <w:t xml:space="preserve"> RECURRENTE</w:t>
      </w:r>
      <w:r w:rsidRPr="00C86CE3">
        <w:rPr>
          <w:rFonts w:ascii="Palatino Linotype" w:hAnsi="Palatino Linotype" w:cs="Arial"/>
          <w:b/>
        </w:rPr>
        <w:t xml:space="preserve"> </w:t>
      </w:r>
      <w:r w:rsidRPr="00C86CE3">
        <w:rPr>
          <w:rFonts w:ascii="Palatino Linotype" w:hAnsi="Palatino Linotype" w:cs="Arial"/>
        </w:rPr>
        <w:t xml:space="preserve">fue omisa en presentar las manifestaciones, alegatos y medios de prueba que a su derecho conviniera. Mientras que por su parte </w:t>
      </w:r>
      <w:r w:rsidRPr="00C86CE3">
        <w:rPr>
          <w:rFonts w:ascii="Palatino Linotype" w:hAnsi="Palatino Linotype" w:cs="Arial"/>
          <w:b/>
        </w:rPr>
        <w:t xml:space="preserve">EL SUJETO OBLIGADO </w:t>
      </w:r>
      <w:r w:rsidRPr="00C86CE3">
        <w:rPr>
          <w:rFonts w:ascii="Palatino Linotype" w:hAnsi="Palatino Linotype" w:cs="Arial"/>
        </w:rPr>
        <w:t>mediante Informe Justificado medularmente refirió que:</w:t>
      </w:r>
    </w:p>
    <w:p w:rsidR="00FD53E1" w:rsidRPr="00C86CE3" w:rsidRDefault="00A4553E" w:rsidP="00FD53E1">
      <w:pPr>
        <w:spacing w:before="100" w:beforeAutospacing="1" w:after="100" w:afterAutospacing="1" w:line="360" w:lineRule="auto"/>
        <w:jc w:val="center"/>
        <w:rPr>
          <w:rFonts w:ascii="Palatino Linotype" w:hAnsi="Palatino Linotype" w:cs="Arial"/>
        </w:rPr>
      </w:pPr>
      <w:r w:rsidRPr="00C86CE3">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315216</wp:posOffset>
                </wp:positionH>
                <wp:positionV relativeFrom="paragraph">
                  <wp:posOffset>310259</wp:posOffset>
                </wp:positionV>
                <wp:extent cx="5017324" cy="1258257"/>
                <wp:effectExtent l="0" t="0" r="12065" b="18415"/>
                <wp:wrapNone/>
                <wp:docPr id="21" name="Rectángulo 21"/>
                <wp:cNvGraphicFramePr/>
                <a:graphic xmlns:a="http://schemas.openxmlformats.org/drawingml/2006/main">
                  <a:graphicData uri="http://schemas.microsoft.com/office/word/2010/wordprocessingShape">
                    <wps:wsp>
                      <wps:cNvSpPr/>
                      <wps:spPr>
                        <a:xfrm>
                          <a:off x="0" y="0"/>
                          <a:ext cx="5017324" cy="1258257"/>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20E9A" id="Rectángulo 21" o:spid="_x0000_s1026" style="position:absolute;margin-left:24.8pt;margin-top:24.45pt;width:395.05pt;height:9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" filled="f" strokecolor="#5b9bd5 [3204]" strokeweight="1.5pt"/>
            </w:pict>
          </mc:Fallback>
        </mc:AlternateContent>
      </w:r>
      <w:r w:rsidR="00FD53E1" w:rsidRPr="00C86CE3">
        <w:rPr>
          <w:noProof/>
          <w:lang w:eastAsia="es-MX"/>
        </w:rPr>
        <w:drawing>
          <wp:inline distT="0" distB="0" distL="0" distR="0" wp14:anchorId="6076639B" wp14:editId="36251A87">
            <wp:extent cx="5017325" cy="308809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06" t="25955" r="19419" b="25048"/>
                    <a:stretch/>
                  </pic:blipFill>
                  <pic:spPr bwMode="auto">
                    <a:xfrm>
                      <a:off x="0" y="0"/>
                      <a:ext cx="5084313" cy="3129322"/>
                    </a:xfrm>
                    <a:prstGeom prst="rect">
                      <a:avLst/>
                    </a:prstGeom>
                    <a:ln>
                      <a:noFill/>
                    </a:ln>
                    <a:extLst>
                      <a:ext uri="{53640926-AAD7-44D8-BBD7-CCE9431645EC}">
                        <a14:shadowObscured xmlns:a14="http://schemas.microsoft.com/office/drawing/2010/main"/>
                      </a:ext>
                    </a:extLst>
                  </pic:spPr>
                </pic:pic>
              </a:graphicData>
            </a:graphic>
          </wp:inline>
        </w:drawing>
      </w:r>
    </w:p>
    <w:p w:rsidR="0041633D" w:rsidRPr="00C86CE3" w:rsidRDefault="00A4553E" w:rsidP="00FD53E1">
      <w:pPr>
        <w:spacing w:before="100" w:beforeAutospacing="1" w:after="100" w:afterAutospacing="1" w:line="360" w:lineRule="auto"/>
        <w:jc w:val="center"/>
        <w:rPr>
          <w:rFonts w:ascii="Palatino Linotype" w:hAnsi="Palatino Linotype"/>
        </w:rPr>
      </w:pPr>
      <w:r w:rsidRPr="00C86CE3">
        <w:rPr>
          <w:noProof/>
          <w:lang w:eastAsia="es-MX"/>
        </w:rPr>
        <mc:AlternateContent>
          <mc:Choice Requires="wps">
            <w:drawing>
              <wp:anchor distT="0" distB="0" distL="114300" distR="114300" simplePos="0" relativeHeight="251667456" behindDoc="0" locked="0" layoutInCell="1" allowOverlap="1" wp14:anchorId="03611276" wp14:editId="3E0DDD82">
                <wp:simplePos x="0" y="0"/>
                <wp:positionH relativeFrom="column">
                  <wp:posOffset>291465</wp:posOffset>
                </wp:positionH>
                <wp:positionV relativeFrom="paragraph">
                  <wp:posOffset>43065</wp:posOffset>
                </wp:positionV>
                <wp:extent cx="5280263" cy="2012867"/>
                <wp:effectExtent l="19050" t="19050" r="15875" b="26035"/>
                <wp:wrapNone/>
                <wp:docPr id="22" name="Rectángulo 22"/>
                <wp:cNvGraphicFramePr/>
                <a:graphic xmlns:a="http://schemas.openxmlformats.org/drawingml/2006/main">
                  <a:graphicData uri="http://schemas.microsoft.com/office/word/2010/wordprocessingShape">
                    <wps:wsp>
                      <wps:cNvSpPr/>
                      <wps:spPr>
                        <a:xfrm>
                          <a:off x="0" y="0"/>
                          <a:ext cx="5280263" cy="201286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B7319" id="Rectángulo 22" o:spid="_x0000_s1026" style="position:absolute;margin-left:22.95pt;margin-top:3.4pt;width:415.75pt;height:15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" filled="f" strokecolor="#1f4d78 [1604]" strokeweight="2.25pt"/>
            </w:pict>
          </mc:Fallback>
        </mc:AlternateContent>
      </w:r>
      <w:r w:rsidR="00FD53E1" w:rsidRPr="00C86CE3">
        <w:rPr>
          <w:noProof/>
          <w:lang w:eastAsia="es-MX"/>
        </w:rPr>
        <w:drawing>
          <wp:inline distT="0" distB="0" distL="0" distR="0" wp14:anchorId="34F79740" wp14:editId="19722F9E">
            <wp:extent cx="5297805" cy="283226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931" t="20116" r="27449" b="44674"/>
                    <a:stretch/>
                  </pic:blipFill>
                  <pic:spPr bwMode="auto">
                    <a:xfrm>
                      <a:off x="0" y="0"/>
                      <a:ext cx="5334325" cy="2851789"/>
                    </a:xfrm>
                    <a:prstGeom prst="rect">
                      <a:avLst/>
                    </a:prstGeom>
                    <a:ln>
                      <a:noFill/>
                    </a:ln>
                    <a:extLst>
                      <a:ext uri="{53640926-AAD7-44D8-BBD7-CCE9431645EC}">
                        <a14:shadowObscured xmlns:a14="http://schemas.microsoft.com/office/drawing/2010/main"/>
                      </a:ext>
                    </a:extLst>
                  </pic:spPr>
                </pic:pic>
              </a:graphicData>
            </a:graphic>
          </wp:inline>
        </w:drawing>
      </w:r>
    </w:p>
    <w:p w:rsidR="00C16AA1" w:rsidRPr="00C86CE3" w:rsidRDefault="00050E9B" w:rsidP="00FD53E1">
      <w:pPr>
        <w:spacing w:before="100" w:beforeAutospacing="1" w:after="100" w:afterAutospacing="1" w:line="360" w:lineRule="auto"/>
        <w:jc w:val="center"/>
        <w:rPr>
          <w:rFonts w:ascii="Palatino Linotype" w:hAnsi="Palatino Linotype"/>
        </w:rPr>
      </w:pPr>
      <w:r w:rsidRPr="00C86CE3">
        <w:rPr>
          <w:noProof/>
          <w:lang w:eastAsia="es-MX"/>
        </w:rPr>
        <w:lastRenderedPageBreak/>
        <mc:AlternateContent>
          <mc:Choice Requires="wps">
            <w:drawing>
              <wp:anchor distT="0" distB="0" distL="114300" distR="114300" simplePos="0" relativeHeight="251668480" behindDoc="0" locked="0" layoutInCell="1" allowOverlap="1" wp14:anchorId="0688A300" wp14:editId="42E1FE42">
                <wp:simplePos x="0" y="0"/>
                <wp:positionH relativeFrom="column">
                  <wp:posOffset>1341788</wp:posOffset>
                </wp:positionH>
                <wp:positionV relativeFrom="paragraph">
                  <wp:posOffset>-114960</wp:posOffset>
                </wp:positionV>
                <wp:extent cx="687122" cy="343561"/>
                <wp:effectExtent l="0" t="19050" r="36830" b="37465"/>
                <wp:wrapNone/>
                <wp:docPr id="23" name="Flecha derecha 23"/>
                <wp:cNvGraphicFramePr/>
                <a:graphic xmlns:a="http://schemas.openxmlformats.org/drawingml/2006/main">
                  <a:graphicData uri="http://schemas.microsoft.com/office/word/2010/wordprocessingShape">
                    <wps:wsp>
                      <wps:cNvSpPr/>
                      <wps:spPr>
                        <a:xfrm>
                          <a:off x="0" y="0"/>
                          <a:ext cx="687122" cy="3435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8C0F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105.65pt;margin-top:-9.05pt;width:54.1pt;height:2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" fillcolor="#5b9bd5 [3204]" strokecolor="#1f4d78 [1604]" strokeweight="1pt"/>
            </w:pict>
          </mc:Fallback>
        </mc:AlternateContent>
      </w:r>
      <w:r w:rsidR="00FD53E1" w:rsidRPr="00C86CE3">
        <w:rPr>
          <w:noProof/>
          <w:lang w:eastAsia="es-MX"/>
        </w:rPr>
        <w:drawing>
          <wp:inline distT="0" distB="0" distL="0" distR="0" wp14:anchorId="5A12E70E" wp14:editId="2236E711">
            <wp:extent cx="4292930" cy="266966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86" t="25144" r="18780" b="6059"/>
                    <a:stretch/>
                  </pic:blipFill>
                  <pic:spPr bwMode="auto">
                    <a:xfrm>
                      <a:off x="0" y="0"/>
                      <a:ext cx="4334099" cy="2695269"/>
                    </a:xfrm>
                    <a:prstGeom prst="rect">
                      <a:avLst/>
                    </a:prstGeom>
                    <a:ln>
                      <a:noFill/>
                    </a:ln>
                    <a:extLst>
                      <a:ext uri="{53640926-AAD7-44D8-BBD7-CCE9431645EC}">
                        <a14:shadowObscured xmlns:a14="http://schemas.microsoft.com/office/drawing/2010/main"/>
                      </a:ext>
                    </a:extLst>
                  </pic:spPr>
                </pic:pic>
              </a:graphicData>
            </a:graphic>
          </wp:inline>
        </w:drawing>
      </w:r>
    </w:p>
    <w:p w:rsidR="00FD53E1" w:rsidRPr="00C86CE3" w:rsidRDefault="00050E9B" w:rsidP="00FD53E1">
      <w:pPr>
        <w:spacing w:before="100" w:beforeAutospacing="1" w:after="100" w:afterAutospacing="1" w:line="360" w:lineRule="auto"/>
        <w:jc w:val="center"/>
        <w:rPr>
          <w:rFonts w:ascii="Palatino Linotype" w:hAnsi="Palatino Linotype"/>
        </w:rPr>
      </w:pPr>
      <w:r w:rsidRPr="00C86CE3">
        <w:rPr>
          <w:noProof/>
          <w:lang w:eastAsia="es-MX"/>
        </w:rPr>
        <mc:AlternateContent>
          <mc:Choice Requires="wps">
            <w:drawing>
              <wp:anchor distT="0" distB="0" distL="114300" distR="114300" simplePos="0" relativeHeight="251670528" behindDoc="0" locked="0" layoutInCell="1" allowOverlap="1" wp14:anchorId="7755F1F7" wp14:editId="37307B5B">
                <wp:simplePos x="0" y="0"/>
                <wp:positionH relativeFrom="column">
                  <wp:posOffset>1509040</wp:posOffset>
                </wp:positionH>
                <wp:positionV relativeFrom="paragraph">
                  <wp:posOffset>-83580</wp:posOffset>
                </wp:positionV>
                <wp:extent cx="687122" cy="343561"/>
                <wp:effectExtent l="0" t="19050" r="36830" b="37465"/>
                <wp:wrapNone/>
                <wp:docPr id="24" name="Flecha derecha 24"/>
                <wp:cNvGraphicFramePr/>
                <a:graphic xmlns:a="http://schemas.openxmlformats.org/drawingml/2006/main">
                  <a:graphicData uri="http://schemas.microsoft.com/office/word/2010/wordprocessingShape">
                    <wps:wsp>
                      <wps:cNvSpPr/>
                      <wps:spPr>
                        <a:xfrm>
                          <a:off x="0" y="0"/>
                          <a:ext cx="687122" cy="3435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D41D6" id="Flecha derecha 24" o:spid="_x0000_s1026" type="#_x0000_t13" style="position:absolute;margin-left:118.8pt;margin-top:-6.6pt;width:54.1pt;height:27.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" fillcolor="#5b9bd5 [3204]" strokecolor="#1f4d78 [1604]" strokeweight="1pt"/>
            </w:pict>
          </mc:Fallback>
        </mc:AlternateContent>
      </w:r>
      <w:r w:rsidR="00FD53E1" w:rsidRPr="00C86CE3">
        <w:rPr>
          <w:noProof/>
          <w:lang w:eastAsia="es-MX"/>
        </w:rPr>
        <w:drawing>
          <wp:inline distT="0" distB="0" distL="0" distR="0" wp14:anchorId="62691423" wp14:editId="5B13BE17">
            <wp:extent cx="4352306" cy="30000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438" t="8598" r="19328" b="15144"/>
                    <a:stretch/>
                  </pic:blipFill>
                  <pic:spPr bwMode="auto">
                    <a:xfrm>
                      <a:off x="0" y="0"/>
                      <a:ext cx="4378441" cy="3018104"/>
                    </a:xfrm>
                    <a:prstGeom prst="rect">
                      <a:avLst/>
                    </a:prstGeom>
                    <a:ln>
                      <a:noFill/>
                    </a:ln>
                    <a:extLst>
                      <a:ext uri="{53640926-AAD7-44D8-BBD7-CCE9431645EC}">
                        <a14:shadowObscured xmlns:a14="http://schemas.microsoft.com/office/drawing/2010/main"/>
                      </a:ext>
                    </a:extLst>
                  </pic:spPr>
                </pic:pic>
              </a:graphicData>
            </a:graphic>
          </wp:inline>
        </w:drawing>
      </w:r>
    </w:p>
    <w:p w:rsidR="00C16AA1" w:rsidRPr="00C86CE3" w:rsidRDefault="009F3C34" w:rsidP="009F3C34">
      <w:pPr>
        <w:spacing w:before="100" w:beforeAutospacing="1" w:after="100" w:afterAutospacing="1" w:line="360" w:lineRule="auto"/>
        <w:jc w:val="both"/>
        <w:rPr>
          <w:rFonts w:ascii="Palatino Linotype" w:hAnsi="Palatino Linotype" w:cs="Arial"/>
        </w:rPr>
      </w:pPr>
      <w:r w:rsidRPr="00C86CE3">
        <w:rPr>
          <w:rFonts w:ascii="Palatino Linotype" w:hAnsi="Palatino Linotype"/>
        </w:rPr>
        <w:lastRenderedPageBreak/>
        <w:t xml:space="preserve">Puntualizado lo anterior, es necesario analizar si de las constancias que obran en el expediente electrónico del </w:t>
      </w:r>
      <w:r w:rsidRPr="00C86CE3">
        <w:rPr>
          <w:rFonts w:ascii="Palatino Linotype" w:hAnsi="Palatino Linotype"/>
          <w:b/>
        </w:rPr>
        <w:t>SAIMEX</w:t>
      </w:r>
      <w:r w:rsidRPr="00C86CE3">
        <w:rPr>
          <w:rFonts w:ascii="Palatino Linotype" w:hAnsi="Palatino Linotype"/>
        </w:rPr>
        <w:t xml:space="preserve"> </w:t>
      </w:r>
      <w:r w:rsidRPr="00C86CE3">
        <w:rPr>
          <w:rFonts w:ascii="Palatino Linotype" w:hAnsi="Palatino Linotype" w:cs="Arial"/>
        </w:rPr>
        <w:t xml:space="preserve">el procedimiento para tener por no presentada la solicitud de información se realizó conforme a derecho. </w:t>
      </w:r>
    </w:p>
    <w:p w:rsidR="009F3C34" w:rsidRPr="00C86CE3" w:rsidRDefault="009F3C34" w:rsidP="009F3C34">
      <w:pPr>
        <w:autoSpaceDE w:val="0"/>
        <w:autoSpaceDN w:val="0"/>
        <w:adjustRightInd w:val="0"/>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t>Es así que, conviene traer a contexto lo establecido por el artículo 159</w:t>
      </w:r>
      <w:r w:rsidR="00781220" w:rsidRPr="00C86CE3">
        <w:rPr>
          <w:rFonts w:ascii="Palatino Linotype" w:hAnsi="Palatino Linotype" w:cs="Arial"/>
        </w:rPr>
        <w:t xml:space="preserve"> de la Ley de la materia, mismo</w:t>
      </w:r>
      <w:r w:rsidRPr="00C86CE3">
        <w:rPr>
          <w:rFonts w:ascii="Palatino Linotype" w:hAnsi="Palatino Linotype" w:cs="Arial"/>
        </w:rPr>
        <w:t xml:space="preserve"> que a la letra reza:</w:t>
      </w:r>
    </w:p>
    <w:p w:rsidR="009F3C34" w:rsidRPr="00C86CE3" w:rsidRDefault="009F3C34" w:rsidP="009F3C34">
      <w:pPr>
        <w:autoSpaceDE w:val="0"/>
        <w:autoSpaceDN w:val="0"/>
        <w:adjustRightInd w:val="0"/>
        <w:ind w:left="851" w:right="902"/>
        <w:jc w:val="both"/>
        <w:rPr>
          <w:rFonts w:ascii="Palatino Linotype" w:hAnsi="Palatino Linotype"/>
          <w:i/>
          <w:sz w:val="22"/>
          <w:szCs w:val="22"/>
        </w:rPr>
      </w:pPr>
      <w:r w:rsidRPr="00C86CE3">
        <w:rPr>
          <w:rFonts w:ascii="Palatino Linotype" w:hAnsi="Palatino Linotype"/>
          <w:b/>
          <w:i/>
          <w:sz w:val="22"/>
          <w:szCs w:val="22"/>
        </w:rPr>
        <w:t>“Artículo 159.</w:t>
      </w:r>
      <w:r w:rsidRPr="00C86CE3">
        <w:rPr>
          <w:rFonts w:ascii="Palatino Linotype" w:hAnsi="Palatino Linotype"/>
          <w:i/>
          <w:sz w:val="22"/>
          <w:szCs w:val="22"/>
        </w:rPr>
        <w:t xml:space="preserve"> </w:t>
      </w:r>
      <w:r w:rsidRPr="00C86CE3">
        <w:rPr>
          <w:rFonts w:ascii="Palatino Linotype" w:hAnsi="Palatino Linotype"/>
          <w:b/>
          <w:i/>
          <w:sz w:val="22"/>
          <w:szCs w:val="22"/>
        </w:rPr>
        <w:t>Cuando los detalles proporcionados para localizar los documentos resulten insuficientes, incompletos o sean erróneos, la Unidad de Transparencia podrá requerir al solicitante, por una sola vez</w:t>
      </w:r>
      <w:r w:rsidRPr="00C86CE3">
        <w:rPr>
          <w:rFonts w:ascii="Palatino Linotype" w:hAnsi="Palatino Linotype"/>
          <w:i/>
          <w:sz w:val="22"/>
          <w:szCs w:val="22"/>
        </w:rPr>
        <w:t xml:space="preserve"> y dentro de un plazo que no podrá exceder de </w:t>
      </w:r>
      <w:r w:rsidRPr="00C86CE3">
        <w:rPr>
          <w:rFonts w:ascii="Palatino Linotype" w:hAnsi="Palatino Linotype"/>
          <w:b/>
          <w:i/>
          <w:sz w:val="22"/>
          <w:szCs w:val="22"/>
        </w:rPr>
        <w:t>cinco días hábiles</w:t>
      </w:r>
      <w:r w:rsidRPr="00C86CE3">
        <w:rPr>
          <w:rFonts w:ascii="Palatino Linotype" w:hAnsi="Palatino Linotype"/>
          <w:i/>
          <w:sz w:val="22"/>
          <w:szCs w:val="22"/>
        </w:rPr>
        <w:t xml:space="preserve"> contados a partir de la presentación de la solicitud, </w:t>
      </w:r>
      <w:r w:rsidRPr="00C86CE3">
        <w:rPr>
          <w:rFonts w:ascii="Palatino Linotype" w:hAnsi="Palatino Linotype"/>
          <w:b/>
          <w:i/>
          <w:sz w:val="22"/>
          <w:szCs w:val="22"/>
        </w:rPr>
        <w:t>para que, en un término de hasta diez días hábiles, indique otros elementos que complementen, corrijan o amplíen los datos proporcionados o bien, precise uno o varios requerimientos de información</w:t>
      </w:r>
      <w:r w:rsidRPr="00C86CE3">
        <w:rPr>
          <w:rFonts w:ascii="Palatino Linotype" w:hAnsi="Palatino Linotype"/>
          <w:i/>
          <w:sz w:val="22"/>
          <w:szCs w:val="22"/>
        </w:rPr>
        <w:t>.</w:t>
      </w:r>
    </w:p>
    <w:p w:rsidR="00CF1E8A" w:rsidRPr="00C86CE3" w:rsidRDefault="00CF1E8A" w:rsidP="009F3C34">
      <w:pPr>
        <w:autoSpaceDE w:val="0"/>
        <w:autoSpaceDN w:val="0"/>
        <w:adjustRightInd w:val="0"/>
        <w:ind w:left="851" w:right="902"/>
        <w:jc w:val="both"/>
        <w:rPr>
          <w:rFonts w:ascii="Palatino Linotype" w:hAnsi="Palatino Linotype"/>
          <w:i/>
          <w:sz w:val="22"/>
          <w:szCs w:val="22"/>
        </w:rPr>
      </w:pPr>
    </w:p>
    <w:p w:rsidR="009F3C34" w:rsidRPr="00C86CE3" w:rsidRDefault="009F3C34" w:rsidP="009F3C34">
      <w:pPr>
        <w:autoSpaceDE w:val="0"/>
        <w:autoSpaceDN w:val="0"/>
        <w:adjustRightInd w:val="0"/>
        <w:ind w:left="851" w:right="902"/>
        <w:jc w:val="both"/>
        <w:rPr>
          <w:rFonts w:ascii="Palatino Linotype" w:hAnsi="Palatino Linotype"/>
          <w:i/>
          <w:sz w:val="22"/>
          <w:szCs w:val="22"/>
        </w:rPr>
      </w:pPr>
      <w:r w:rsidRPr="00C86CE3">
        <w:rPr>
          <w:rFonts w:ascii="Palatino Linotype" w:hAnsi="Palatino Linotype"/>
          <w:i/>
          <w:sz w:val="22"/>
          <w:szCs w:val="22"/>
        </w:rPr>
        <w:t>En este requerimiento interrumpirá el plazo de respuesta establecido en el artículo 163 de la presente Ley, por lo que comenzará a computarse nuevamente al día siguiente del desahogo por parte d</w:t>
      </w:r>
      <w:r w:rsidR="00775889" w:rsidRPr="00C86CE3">
        <w:rPr>
          <w:rFonts w:ascii="Palatino Linotype" w:hAnsi="Palatino Linotype"/>
          <w:i/>
          <w:sz w:val="22"/>
          <w:szCs w:val="22"/>
        </w:rPr>
        <w:t>la particular</w:t>
      </w:r>
      <w:r w:rsidRPr="00C86CE3">
        <w:rPr>
          <w:rFonts w:ascii="Palatino Linotype" w:hAnsi="Palatino Linotype"/>
          <w:i/>
          <w:sz w:val="22"/>
          <w:szCs w:val="22"/>
        </w:rPr>
        <w:t>. En este caso, el sujeto obligado atenderá la solicitud en los términos en que fue desahogado el requerimiento de información adicional.</w:t>
      </w:r>
    </w:p>
    <w:p w:rsidR="00CF1E8A" w:rsidRPr="00C86CE3" w:rsidRDefault="00CF1E8A" w:rsidP="009F3C34">
      <w:pPr>
        <w:autoSpaceDE w:val="0"/>
        <w:autoSpaceDN w:val="0"/>
        <w:adjustRightInd w:val="0"/>
        <w:ind w:left="851" w:right="902"/>
        <w:jc w:val="both"/>
        <w:rPr>
          <w:rFonts w:ascii="Palatino Linotype" w:hAnsi="Palatino Linotype"/>
          <w:i/>
          <w:sz w:val="22"/>
          <w:szCs w:val="22"/>
        </w:rPr>
      </w:pPr>
    </w:p>
    <w:p w:rsidR="009F3C34" w:rsidRPr="00C86CE3" w:rsidRDefault="009F3C34" w:rsidP="009F3C34">
      <w:pPr>
        <w:autoSpaceDE w:val="0"/>
        <w:autoSpaceDN w:val="0"/>
        <w:adjustRightInd w:val="0"/>
        <w:ind w:left="851" w:right="902"/>
        <w:jc w:val="both"/>
        <w:rPr>
          <w:rFonts w:ascii="Palatino Linotype" w:hAnsi="Palatino Linotype"/>
          <w:i/>
          <w:sz w:val="22"/>
          <w:szCs w:val="22"/>
        </w:rPr>
      </w:pPr>
      <w:r w:rsidRPr="00C86CE3">
        <w:rPr>
          <w:rFonts w:ascii="Palatino Linotype" w:hAnsi="Palatino Linotype"/>
          <w:b/>
          <w:i/>
          <w:sz w:val="22"/>
          <w:szCs w:val="22"/>
        </w:rPr>
        <w:t>La solicitud se tendrá por no presentada cuando los solicitantes no atiendan el requerimiento de información adicional</w:t>
      </w:r>
      <w:r w:rsidRPr="00C86CE3">
        <w:rPr>
          <w:rFonts w:ascii="Palatino Linotype" w:hAnsi="Palatino Linotype"/>
          <w:i/>
          <w:sz w:val="22"/>
          <w:szCs w:val="22"/>
        </w:rPr>
        <w:t xml:space="preserve">, </w:t>
      </w:r>
      <w:r w:rsidRPr="00C86CE3">
        <w:rPr>
          <w:rFonts w:ascii="Palatino Linotype" w:hAnsi="Palatino Linotype"/>
          <w:b/>
          <w:i/>
          <w:sz w:val="22"/>
          <w:szCs w:val="22"/>
        </w:rPr>
        <w:t>salvo que en la solicitud inicial se aprecien elementos que permitan identificar la información requerida</w:t>
      </w:r>
      <w:r w:rsidRPr="00C86CE3">
        <w:rPr>
          <w:rFonts w:ascii="Palatino Linotype" w:hAnsi="Palatino Linotype"/>
          <w:i/>
          <w:sz w:val="22"/>
          <w:szCs w:val="22"/>
        </w:rPr>
        <w:t>, quedando a salvo los derechos d</w:t>
      </w:r>
      <w:r w:rsidR="0076145D" w:rsidRPr="00C86CE3">
        <w:rPr>
          <w:rFonts w:ascii="Palatino Linotype" w:hAnsi="Palatino Linotype"/>
          <w:i/>
          <w:sz w:val="22"/>
          <w:szCs w:val="22"/>
        </w:rPr>
        <w:t xml:space="preserve">e </w:t>
      </w:r>
      <w:r w:rsidR="00775889" w:rsidRPr="00C86CE3">
        <w:rPr>
          <w:rFonts w:ascii="Palatino Linotype" w:hAnsi="Palatino Linotype"/>
          <w:i/>
          <w:sz w:val="22"/>
          <w:szCs w:val="22"/>
        </w:rPr>
        <w:t>la particular</w:t>
      </w:r>
      <w:r w:rsidRPr="00C86CE3">
        <w:rPr>
          <w:rFonts w:ascii="Palatino Linotype" w:hAnsi="Palatino Linotype"/>
          <w:i/>
          <w:sz w:val="22"/>
          <w:szCs w:val="22"/>
        </w:rPr>
        <w:t xml:space="preserve"> para volver a presentar su solicitud.</w:t>
      </w:r>
    </w:p>
    <w:p w:rsidR="00CF1E8A" w:rsidRPr="00C86CE3" w:rsidRDefault="00CF1E8A" w:rsidP="009F3C34">
      <w:pPr>
        <w:autoSpaceDE w:val="0"/>
        <w:autoSpaceDN w:val="0"/>
        <w:adjustRightInd w:val="0"/>
        <w:ind w:left="851" w:right="902"/>
        <w:jc w:val="both"/>
        <w:rPr>
          <w:rFonts w:ascii="Palatino Linotype" w:hAnsi="Palatino Linotype"/>
          <w:i/>
          <w:sz w:val="22"/>
          <w:szCs w:val="22"/>
        </w:rPr>
      </w:pPr>
    </w:p>
    <w:p w:rsidR="009F3C34" w:rsidRPr="00C86CE3" w:rsidRDefault="009F3C34" w:rsidP="009F3C34">
      <w:pPr>
        <w:autoSpaceDE w:val="0"/>
        <w:autoSpaceDN w:val="0"/>
        <w:adjustRightInd w:val="0"/>
        <w:ind w:left="851" w:right="902"/>
        <w:jc w:val="both"/>
        <w:rPr>
          <w:rFonts w:ascii="Palatino Linotype" w:hAnsi="Palatino Linotype"/>
          <w:i/>
          <w:sz w:val="22"/>
          <w:szCs w:val="22"/>
        </w:rPr>
      </w:pPr>
      <w:r w:rsidRPr="00C86CE3">
        <w:rPr>
          <w:rFonts w:ascii="Palatino Linotype" w:hAnsi="Palatino Linotype"/>
          <w:i/>
          <w:sz w:val="22"/>
          <w:szCs w:val="22"/>
        </w:rPr>
        <w:t>En el caso de requerimientos parciales no desahogados, se tendrá por presentada la solicitud por lo que respecta a los contenidos de información que no formaron parte del requerimiento.</w:t>
      </w:r>
      <w:r w:rsidR="00CF1E8A" w:rsidRPr="00C86CE3">
        <w:rPr>
          <w:rFonts w:ascii="Palatino Linotype" w:hAnsi="Palatino Linotype"/>
          <w:i/>
          <w:sz w:val="22"/>
          <w:szCs w:val="22"/>
        </w:rPr>
        <w:t>”</w:t>
      </w:r>
    </w:p>
    <w:p w:rsidR="00CF1E8A" w:rsidRPr="00C86CE3" w:rsidRDefault="00CF1E8A" w:rsidP="009F3C34">
      <w:pPr>
        <w:autoSpaceDE w:val="0"/>
        <w:autoSpaceDN w:val="0"/>
        <w:adjustRightInd w:val="0"/>
        <w:ind w:left="851" w:right="902"/>
        <w:jc w:val="both"/>
        <w:rPr>
          <w:rFonts w:ascii="Palatino Linotype" w:hAnsi="Palatino Linotype" w:cs="Arial"/>
          <w:i/>
          <w:sz w:val="22"/>
          <w:szCs w:val="22"/>
        </w:rPr>
      </w:pPr>
      <w:r w:rsidRPr="00C86CE3">
        <w:rPr>
          <w:rFonts w:ascii="Palatino Linotype" w:hAnsi="Palatino Linotype"/>
          <w:i/>
          <w:sz w:val="22"/>
          <w:szCs w:val="22"/>
        </w:rPr>
        <w:t>(Énfasis añadido)</w:t>
      </w:r>
    </w:p>
    <w:p w:rsidR="00CF1E8A" w:rsidRPr="00C86CE3" w:rsidRDefault="00CF1E8A" w:rsidP="009F3C34">
      <w:pPr>
        <w:autoSpaceDE w:val="0"/>
        <w:autoSpaceDN w:val="0"/>
        <w:adjustRightInd w:val="0"/>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lastRenderedPageBreak/>
        <w:t>Si bien es cierto que, el precepto legal en cita en su párrafo tercero, establece que los Sujetos Obligados tendrán por no presentada la solicitud de información cuando los particulares no atiendan el requerimiento de información adicional que les hubiera sido planteado; también lo es que, dicho párrafo establece una salvedad para el caso de que los  Sujetos Obligados adviertan que en la solicitud de información se aprecian elementos que permitan identificar la información requerida, lo que implica en consecuencia que deben dar el trámite correspondiente a la solicitud de información de los particulares.</w:t>
      </w:r>
    </w:p>
    <w:p w:rsidR="00263A9C" w:rsidRPr="00C86CE3" w:rsidRDefault="00F05D31" w:rsidP="00263A9C">
      <w:pPr>
        <w:autoSpaceDE w:val="0"/>
        <w:autoSpaceDN w:val="0"/>
        <w:adjustRightInd w:val="0"/>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t xml:space="preserve">Por lo que, si la particular no precisó, aclaró o amplió el requerimiento realizado por </w:t>
      </w:r>
      <w:r w:rsidRPr="00C86CE3">
        <w:rPr>
          <w:rFonts w:ascii="Palatino Linotype" w:hAnsi="Palatino Linotype" w:cs="Arial"/>
          <w:b/>
        </w:rPr>
        <w:t xml:space="preserve">EL SUJETO OBLIGADO, </w:t>
      </w:r>
      <w:r w:rsidRPr="00C86CE3">
        <w:rPr>
          <w:rFonts w:ascii="Palatino Linotype" w:hAnsi="Palatino Linotype" w:cs="Arial"/>
        </w:rPr>
        <w:t>respecto de la denominación correcta de las tapas de registro, tapas de alcantarillado y/o similares; ello no era</w:t>
      </w:r>
      <w:r w:rsidR="00263A9C" w:rsidRPr="00C86CE3">
        <w:rPr>
          <w:rFonts w:ascii="Palatino Linotype" w:hAnsi="Palatino Linotype" w:cs="Arial"/>
        </w:rPr>
        <w:t xml:space="preserve"> motivo</w:t>
      </w:r>
      <w:r w:rsidRPr="00C86CE3">
        <w:rPr>
          <w:rFonts w:ascii="Palatino Linotype" w:hAnsi="Palatino Linotype" w:cs="Arial"/>
        </w:rPr>
        <w:t xml:space="preserve"> suficiente para no atender en su totalidad la solicitud</w:t>
      </w:r>
      <w:r w:rsidR="00263A9C" w:rsidRPr="00C86CE3">
        <w:rPr>
          <w:rFonts w:ascii="Palatino Linotype" w:hAnsi="Palatino Linotype" w:cs="Arial"/>
        </w:rPr>
        <w:t xml:space="preserve"> de información</w:t>
      </w:r>
      <w:r w:rsidRPr="00C86CE3">
        <w:rPr>
          <w:rFonts w:ascii="Palatino Linotype" w:hAnsi="Palatino Linotype" w:cs="Arial"/>
        </w:rPr>
        <w:t xml:space="preserve">, es decir, </w:t>
      </w:r>
      <w:r w:rsidR="00263A9C" w:rsidRPr="00C86CE3">
        <w:rPr>
          <w:rFonts w:ascii="Palatino Linotype" w:hAnsi="Palatino Linotype" w:cs="Arial"/>
          <w:b/>
        </w:rPr>
        <w:t xml:space="preserve">EL SUJETO OBLIGADO </w:t>
      </w:r>
      <w:r w:rsidR="00263A9C" w:rsidRPr="00C86CE3">
        <w:rPr>
          <w:rFonts w:ascii="Palatino Linotype" w:hAnsi="Palatino Linotype" w:cs="Arial"/>
        </w:rPr>
        <w:t xml:space="preserve">debió haber aplicado los </w:t>
      </w:r>
      <w:r w:rsidRPr="00C86CE3">
        <w:rPr>
          <w:rFonts w:ascii="Palatino Linotype" w:hAnsi="Palatino Linotype" w:cs="Arial"/>
        </w:rPr>
        <w:t xml:space="preserve">principios de auxilio y orientación durante el procedimiento de acceso a la información establecidos </w:t>
      </w:r>
      <w:r w:rsidR="00263A9C" w:rsidRPr="00C86CE3">
        <w:rPr>
          <w:rFonts w:ascii="Palatino Linotype" w:hAnsi="Palatino Linotype" w:cs="Arial"/>
        </w:rPr>
        <w:t>en el artículo 173 de la Ley de la materia</w:t>
      </w:r>
      <w:r w:rsidR="00263A9C" w:rsidRPr="00C86CE3">
        <w:rPr>
          <w:rStyle w:val="Refdenotaalpie"/>
          <w:rFonts w:ascii="Palatino Linotype" w:hAnsi="Palatino Linotype" w:cs="Arial"/>
        </w:rPr>
        <w:footnoteReference w:id="1"/>
      </w:r>
      <w:r w:rsidR="00263A9C" w:rsidRPr="00C86CE3">
        <w:rPr>
          <w:rFonts w:ascii="Palatino Linotype" w:hAnsi="Palatino Linotype" w:cs="Arial"/>
        </w:rPr>
        <w:t>.</w:t>
      </w:r>
    </w:p>
    <w:p w:rsidR="00263A9C" w:rsidRPr="00C86CE3" w:rsidRDefault="00263A9C" w:rsidP="006B6446">
      <w:pPr>
        <w:autoSpaceDE w:val="0"/>
        <w:autoSpaceDN w:val="0"/>
        <w:adjustRightInd w:val="0"/>
        <w:spacing w:line="360" w:lineRule="auto"/>
        <w:jc w:val="both"/>
        <w:rPr>
          <w:rFonts w:ascii="Palatino Linotype" w:hAnsi="Palatino Linotype"/>
          <w:bCs/>
        </w:rPr>
      </w:pPr>
      <w:r w:rsidRPr="00C86CE3">
        <w:rPr>
          <w:rFonts w:ascii="Palatino Linotype" w:hAnsi="Palatino Linotype" w:cs="Arial"/>
        </w:rPr>
        <w:t xml:space="preserve">Lo anterior, es así debido a que el derecho de acceso a la información pública, consiste en que los particulares conozcan la información contenida en los documentos que </w:t>
      </w:r>
      <w:r w:rsidRPr="00C86CE3">
        <w:rPr>
          <w:rFonts w:ascii="Palatino Linotype" w:hAnsi="Palatino Linotype" w:cs="Arial"/>
        </w:rPr>
        <w:lastRenderedPageBreak/>
        <w:t>posean los órganos del Estado; incluso se impone la obligación a las autoridades de preservar sus documentos en archivos administrat</w:t>
      </w:r>
      <w:r w:rsidR="006B6446" w:rsidRPr="00C86CE3">
        <w:rPr>
          <w:rFonts w:ascii="Palatino Linotype" w:hAnsi="Palatino Linotype" w:cs="Arial"/>
        </w:rPr>
        <w:t>ivos actualizados; e</w:t>
      </w:r>
      <w:r w:rsidRPr="00C86CE3">
        <w:rPr>
          <w:rFonts w:ascii="Palatino Linotype" w:hAnsi="Palatino Linotype" w:cs="Arial"/>
        </w:rPr>
        <w:t xml:space="preserve">mpero, </w:t>
      </w:r>
      <w:r w:rsidRPr="00C86CE3">
        <w:rPr>
          <w:rFonts w:ascii="Palatino Linotype" w:hAnsi="Palatino Linotype"/>
          <w:b/>
        </w:rPr>
        <w:t>no necesariamente deben tener conocimiento cierto de la denominación de cada uno los documentos que generen los Sujetos Obligados</w:t>
      </w:r>
      <w:r w:rsidRPr="00C86CE3">
        <w:rPr>
          <w:rFonts w:ascii="Palatino Linotype" w:hAnsi="Palatino Linotype"/>
        </w:rPr>
        <w:t xml:space="preserve"> y, considerando lo establecido en el </w:t>
      </w:r>
      <w:r w:rsidRPr="00C86CE3">
        <w:rPr>
          <w:rFonts w:ascii="Palatino Linotype" w:hAnsi="Palatino Linotype"/>
          <w:bCs/>
        </w:rPr>
        <w:t>Criterio 16/17 de la Segunda Época, emitido por el Pleno del Instituto Nacional de Transparencia, Acceso a la Información y Protección de Datos Personales</w:t>
      </w:r>
      <w:r w:rsidRPr="00C86CE3">
        <w:rPr>
          <w:rFonts w:ascii="Palatino Linotype" w:hAnsi="Palatino Linotype"/>
        </w:rPr>
        <w:t xml:space="preserve">, </w:t>
      </w:r>
      <w:r w:rsidRPr="00C86CE3">
        <w:rPr>
          <w:rFonts w:ascii="Palatino Linotype" w:hAnsi="Palatino Linotype"/>
          <w:b/>
        </w:rPr>
        <w:t xml:space="preserve">mediante el cual </w:t>
      </w:r>
      <w:r w:rsidRPr="00C86CE3">
        <w:rPr>
          <w:rFonts w:ascii="Palatino Linotype" w:hAnsi="Palatino Linotype"/>
          <w:b/>
          <w:bCs/>
        </w:rPr>
        <w:t>los Sujetos Obligados, deben analizar las solicitudes de información planteadas</w:t>
      </w:r>
      <w:r w:rsidRPr="00C86CE3">
        <w:rPr>
          <w:rFonts w:ascii="Palatino Linotype" w:hAnsi="Palatino Linotype"/>
          <w:bCs/>
        </w:rPr>
        <w:t xml:space="preserve">, a efecto de verificar si puede o no tratarse de información que generen, posean o administren en el ejercicio de sus atribuciones o funciones y, en tal virtud, cuando sí hay información relacionada con la solicitud, </w:t>
      </w:r>
      <w:r w:rsidRPr="00C86CE3">
        <w:rPr>
          <w:rFonts w:ascii="Palatino Linotype" w:hAnsi="Palatino Linotype"/>
          <w:b/>
          <w:bCs/>
        </w:rPr>
        <w:t>o bien, una expresión documental, que pueda colmar el derecho de acceso a la información de los particulares, tendrán obligación de atenderlas</w:t>
      </w:r>
      <w:r w:rsidRPr="00C86CE3">
        <w:rPr>
          <w:rFonts w:ascii="Palatino Linotype" w:hAnsi="Palatino Linotype"/>
          <w:bCs/>
        </w:rPr>
        <w:t>,</w:t>
      </w:r>
      <w:r w:rsidR="006B6446" w:rsidRPr="00C86CE3">
        <w:rPr>
          <w:rFonts w:ascii="Palatino Linotype" w:hAnsi="Palatino Linotype"/>
          <w:bCs/>
        </w:rPr>
        <w:t xml:space="preserve"> criterio que para mayor referencia se inserta a continuación:</w:t>
      </w:r>
    </w:p>
    <w:p w:rsidR="00263A9C" w:rsidRPr="00C86CE3" w:rsidRDefault="00263A9C" w:rsidP="00263A9C">
      <w:pPr>
        <w:ind w:left="851" w:right="902"/>
        <w:jc w:val="both"/>
        <w:rPr>
          <w:rFonts w:ascii="Palatino Linotype" w:hAnsi="Palatino Linotype" w:cs="Arial"/>
          <w:i/>
          <w:sz w:val="22"/>
          <w:szCs w:val="22"/>
        </w:rPr>
      </w:pPr>
      <w:r w:rsidRPr="00C86CE3">
        <w:rPr>
          <w:rFonts w:ascii="Palatino Linotype" w:hAnsi="Palatino Linotype" w:cs="Arial"/>
          <w:i/>
          <w:sz w:val="22"/>
          <w:szCs w:val="22"/>
        </w:rPr>
        <w:t>“</w:t>
      </w:r>
      <w:r w:rsidRPr="00C86CE3">
        <w:rPr>
          <w:rFonts w:ascii="Palatino Linotype" w:hAnsi="Palatino Linotype" w:cs="Arial"/>
          <w:b/>
          <w:i/>
          <w:sz w:val="22"/>
          <w:szCs w:val="22"/>
        </w:rPr>
        <w:t>Expresión documental</w:t>
      </w:r>
      <w:r w:rsidRPr="00C86CE3">
        <w:rPr>
          <w:rFonts w:ascii="Palatino Linotype" w:hAnsi="Palatino Linotype" w:cs="Arial"/>
          <w:i/>
          <w:sz w:val="22"/>
          <w:szCs w:val="22"/>
        </w:rPr>
        <w:t xml:space="preserve">. </w:t>
      </w:r>
      <w:r w:rsidRPr="00C86CE3">
        <w:rPr>
          <w:rFonts w:ascii="Palatino Linotype" w:hAnsi="Palatino Linotype" w:cs="Arial"/>
          <w:b/>
          <w:i/>
          <w:sz w:val="22"/>
          <w:szCs w:val="22"/>
        </w:rPr>
        <w:t>Cuando los particulares presenten solicitudes de acceso a la información sin identificar de forma precisa la documentación que pudiera contener la información de su interés</w:t>
      </w:r>
      <w:r w:rsidRPr="00C86CE3">
        <w:rPr>
          <w:rFonts w:ascii="Palatino Linotype" w:hAnsi="Palatino Linotype" w:cs="Arial"/>
          <w:i/>
          <w:sz w:val="22"/>
          <w:szCs w:val="22"/>
        </w:rPr>
        <w:t xml:space="preserve">, o bien, la solicitud constituya una consulta, pero la respuesta pudiera obrar en algún documento en poder de </w:t>
      </w:r>
      <w:r w:rsidRPr="00C86CE3">
        <w:rPr>
          <w:rFonts w:ascii="Palatino Linotype" w:hAnsi="Palatino Linotype" w:cs="Arial"/>
          <w:b/>
          <w:i/>
          <w:sz w:val="22"/>
          <w:szCs w:val="22"/>
        </w:rPr>
        <w:t>los sujetos obligados</w:t>
      </w:r>
      <w:r w:rsidRPr="00C86CE3">
        <w:rPr>
          <w:rFonts w:ascii="Palatino Linotype" w:hAnsi="Palatino Linotype" w:cs="Arial"/>
          <w:i/>
          <w:sz w:val="22"/>
          <w:szCs w:val="22"/>
        </w:rPr>
        <w:t xml:space="preserve">, éstos </w:t>
      </w:r>
      <w:r w:rsidRPr="00C86CE3">
        <w:rPr>
          <w:rFonts w:ascii="Palatino Linotype" w:hAnsi="Palatino Linotype" w:cs="Arial"/>
          <w:b/>
          <w:i/>
          <w:sz w:val="22"/>
          <w:szCs w:val="22"/>
        </w:rPr>
        <w:t>deben dar a dichas solicitudes una interpretación que les otorgue una expresión documental</w:t>
      </w:r>
      <w:r w:rsidRPr="00C86CE3">
        <w:rPr>
          <w:rFonts w:ascii="Palatino Linotype" w:hAnsi="Palatino Linotype" w:cs="Arial"/>
          <w:i/>
          <w:sz w:val="22"/>
          <w:szCs w:val="22"/>
        </w:rPr>
        <w:t xml:space="preserve">. </w:t>
      </w:r>
    </w:p>
    <w:p w:rsidR="00263A9C" w:rsidRPr="00C86CE3" w:rsidRDefault="00263A9C" w:rsidP="00263A9C">
      <w:pPr>
        <w:ind w:left="851" w:right="902"/>
        <w:jc w:val="both"/>
        <w:rPr>
          <w:rFonts w:ascii="Palatino Linotype" w:hAnsi="Palatino Linotype" w:cs="Arial"/>
          <w:i/>
          <w:sz w:val="22"/>
          <w:szCs w:val="22"/>
        </w:rPr>
      </w:pPr>
      <w:r w:rsidRPr="00C86CE3">
        <w:rPr>
          <w:rFonts w:ascii="Palatino Linotype" w:hAnsi="Palatino Linotype" w:cs="Arial"/>
          <w:i/>
          <w:sz w:val="22"/>
          <w:szCs w:val="22"/>
        </w:rPr>
        <w:t>Resoluciones:</w:t>
      </w:r>
    </w:p>
    <w:p w:rsidR="00263A9C" w:rsidRPr="00C86CE3" w:rsidRDefault="00263A9C" w:rsidP="00263A9C">
      <w:pPr>
        <w:ind w:left="851" w:right="902"/>
        <w:jc w:val="both"/>
        <w:rPr>
          <w:rFonts w:ascii="Palatino Linotype" w:hAnsi="Palatino Linotype" w:cs="Arial"/>
          <w:i/>
          <w:sz w:val="22"/>
          <w:szCs w:val="22"/>
        </w:rPr>
      </w:pPr>
      <w:r w:rsidRPr="00C86CE3">
        <w:rPr>
          <w:rFonts w:ascii="Palatino Linotype" w:hAnsi="Palatino Linotype" w:cs="Arial"/>
          <w:i/>
          <w:sz w:val="22"/>
          <w:szCs w:val="22"/>
        </w:rPr>
        <w:t>•</w:t>
      </w:r>
      <w:r w:rsidRPr="00C86CE3">
        <w:rPr>
          <w:rFonts w:ascii="Palatino Linotype" w:hAnsi="Palatino Linotype" w:cs="Arial"/>
          <w:i/>
          <w:sz w:val="22"/>
          <w:szCs w:val="22"/>
        </w:rPr>
        <w:tab/>
        <w:t>RRA 0774/16. Secretaría de Salud. 31 de agosto de 2016. Por unanimidad. Comisionada Ponente María Patricia Kurczyn Villalobos.</w:t>
      </w:r>
    </w:p>
    <w:p w:rsidR="00263A9C" w:rsidRPr="00C86CE3" w:rsidRDefault="00263A9C" w:rsidP="00263A9C">
      <w:pPr>
        <w:ind w:left="851" w:right="902"/>
        <w:jc w:val="both"/>
        <w:rPr>
          <w:rFonts w:ascii="Palatino Linotype" w:hAnsi="Palatino Linotype" w:cs="Arial"/>
          <w:i/>
          <w:sz w:val="22"/>
          <w:szCs w:val="22"/>
        </w:rPr>
      </w:pPr>
      <w:r w:rsidRPr="00C86CE3">
        <w:rPr>
          <w:rFonts w:ascii="Palatino Linotype" w:hAnsi="Palatino Linotype" w:cs="Arial"/>
          <w:i/>
          <w:sz w:val="22"/>
          <w:szCs w:val="22"/>
        </w:rPr>
        <w:t>•</w:t>
      </w:r>
      <w:r w:rsidRPr="00C86CE3">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263A9C" w:rsidRPr="00C86CE3" w:rsidRDefault="00263A9C" w:rsidP="00263A9C">
      <w:pPr>
        <w:ind w:left="851" w:right="902"/>
        <w:jc w:val="both"/>
        <w:rPr>
          <w:rFonts w:ascii="Palatino Linotype" w:hAnsi="Palatino Linotype" w:cs="Arial"/>
          <w:i/>
          <w:sz w:val="22"/>
          <w:szCs w:val="22"/>
        </w:rPr>
      </w:pPr>
      <w:r w:rsidRPr="00C86CE3">
        <w:rPr>
          <w:rFonts w:ascii="Palatino Linotype" w:hAnsi="Palatino Linotype" w:cs="Arial"/>
          <w:i/>
          <w:sz w:val="22"/>
          <w:szCs w:val="22"/>
        </w:rPr>
        <w:lastRenderedPageBreak/>
        <w:t>•</w:t>
      </w:r>
      <w:r w:rsidRPr="00C86CE3">
        <w:rPr>
          <w:rFonts w:ascii="Palatino Linotype" w:hAnsi="Palatino Linotype" w:cs="Arial"/>
          <w:i/>
          <w:sz w:val="22"/>
          <w:szCs w:val="22"/>
        </w:rPr>
        <w:tab/>
        <w:t>RRA 0540/17. Secretaría de Economía. 08 de marzo del 2017. Por unanimidad. Comisionado Ponente Francisco Javier Acuña Llamas.”</w:t>
      </w:r>
    </w:p>
    <w:p w:rsidR="00A6770A" w:rsidRPr="00C86CE3" w:rsidRDefault="006B6446" w:rsidP="00A6770A">
      <w:pPr>
        <w:autoSpaceDE w:val="0"/>
        <w:autoSpaceDN w:val="0"/>
        <w:adjustRightInd w:val="0"/>
        <w:spacing w:before="100" w:beforeAutospacing="1" w:after="100" w:afterAutospacing="1" w:line="360" w:lineRule="auto"/>
        <w:jc w:val="both"/>
        <w:rPr>
          <w:rFonts w:ascii="Palatino Linotype" w:hAnsi="Palatino Linotype" w:cs="Arial"/>
        </w:rPr>
      </w:pPr>
      <w:r w:rsidRPr="00C86CE3">
        <w:rPr>
          <w:rFonts w:ascii="Palatino Linotype" w:hAnsi="Palatino Linotype" w:cs="Arial"/>
        </w:rPr>
        <w:t>H</w:t>
      </w:r>
      <w:r w:rsidR="00CC30EA" w:rsidRPr="00C86CE3">
        <w:rPr>
          <w:rFonts w:ascii="Palatino Linotype" w:hAnsi="Palatino Linotype" w:cs="Arial"/>
        </w:rPr>
        <w:t>e</w:t>
      </w:r>
      <w:r w:rsidRPr="00C86CE3">
        <w:rPr>
          <w:rFonts w:ascii="Palatino Linotype" w:hAnsi="Palatino Linotype" w:cs="Arial"/>
        </w:rPr>
        <w:t>chas las precisiones anteriores, es importante señalar que</w:t>
      </w:r>
      <w:r w:rsidR="00A6770A" w:rsidRPr="00C86CE3">
        <w:rPr>
          <w:rFonts w:ascii="Palatino Linotype" w:hAnsi="Palatino Linotype" w:cs="Arial"/>
        </w:rPr>
        <w:t xml:space="preserve"> </w:t>
      </w:r>
      <w:r w:rsidR="00A6770A" w:rsidRPr="00C86CE3">
        <w:rPr>
          <w:rFonts w:ascii="Palatino Linotype" w:eastAsia="Arial Unicode MS" w:hAnsi="Palatino Linotype" w:cs="Arial"/>
        </w:rPr>
        <w:t xml:space="preserve">esta Ponencia Resolutora determina suplir la deficiencia presentada en la solicitud de información, en términos de los artículos 13 y 181, párrafo cuarto de la Ley de la materia, a </w:t>
      </w:r>
      <w:r w:rsidR="00A6770A" w:rsidRPr="00C86CE3">
        <w:rPr>
          <w:rFonts w:ascii="Palatino Linotype" w:eastAsia="Arial Unicode MS" w:hAnsi="Palatino Linotype" w:cs="Arial"/>
          <w:b/>
        </w:rPr>
        <w:t>fin de garantizar el derecho de acceso a la información ejercido por la solicitante</w:t>
      </w:r>
      <w:r w:rsidR="00A6770A" w:rsidRPr="00C86CE3">
        <w:rPr>
          <w:rFonts w:ascii="Palatino Linotype" w:eastAsia="Arial Unicode MS" w:hAnsi="Palatino Linotype" w:cs="Arial"/>
        </w:rPr>
        <w:t xml:space="preserve"> y de establecer que lo requerido por la hoy </w:t>
      </w:r>
      <w:r w:rsidR="00A90F1D" w:rsidRPr="00C86CE3">
        <w:rPr>
          <w:rFonts w:ascii="Palatino Linotype" w:eastAsia="Arial Unicode MS" w:hAnsi="Palatino Linotype" w:cs="Arial"/>
          <w:b/>
        </w:rPr>
        <w:t>LA RECURRENTE</w:t>
      </w:r>
      <w:r w:rsidR="0076145D" w:rsidRPr="00C86CE3">
        <w:rPr>
          <w:rFonts w:ascii="Palatino Linotype" w:eastAsia="Arial Unicode MS" w:hAnsi="Palatino Linotype" w:cs="Arial"/>
        </w:rPr>
        <w:t xml:space="preserve"> consistió en las adquisiciones</w:t>
      </w:r>
      <w:r w:rsidR="00A6770A" w:rsidRPr="00C86CE3">
        <w:rPr>
          <w:rFonts w:ascii="Palatino Linotype" w:eastAsia="Arial Unicode MS" w:hAnsi="Palatino Linotype" w:cs="Arial"/>
        </w:rPr>
        <w:t xml:space="preserve"> de Brocal con Tapa y Boca de Tormenta que </w:t>
      </w:r>
      <w:r w:rsidR="00A6770A" w:rsidRPr="00C86CE3">
        <w:rPr>
          <w:rFonts w:ascii="Palatino Linotype" w:eastAsia="Arial Unicode MS" w:hAnsi="Palatino Linotype" w:cs="Arial"/>
          <w:b/>
        </w:rPr>
        <w:t xml:space="preserve">EL SUJETO OBLIGADO </w:t>
      </w:r>
      <w:r w:rsidR="00A6770A" w:rsidRPr="00C86CE3">
        <w:rPr>
          <w:rFonts w:ascii="Palatino Linotype" w:eastAsia="Arial Unicode MS" w:hAnsi="Palatino Linotype" w:cs="Arial"/>
        </w:rPr>
        <w:t xml:space="preserve">hubiera </w:t>
      </w:r>
      <w:r w:rsidR="0076145D" w:rsidRPr="00C86CE3">
        <w:rPr>
          <w:rFonts w:ascii="Palatino Linotype" w:eastAsia="Arial Unicode MS" w:hAnsi="Palatino Linotype" w:cs="Arial"/>
        </w:rPr>
        <w:t>realizado</w:t>
      </w:r>
      <w:r w:rsidR="00A6770A" w:rsidRPr="00C86CE3">
        <w:rPr>
          <w:rFonts w:ascii="Palatino Linotype" w:eastAsia="Arial Unicode MS" w:hAnsi="Palatino Linotype" w:cs="Arial"/>
        </w:rPr>
        <w:t xml:space="preserve"> durante </w:t>
      </w:r>
      <w:r w:rsidR="0076145D" w:rsidRPr="00C86CE3">
        <w:rPr>
          <w:rFonts w:ascii="Palatino Linotype" w:eastAsia="Arial Unicode MS" w:hAnsi="Palatino Linotype" w:cs="Arial"/>
        </w:rPr>
        <w:t xml:space="preserve">el periodo del 1 de enero de 2016 al 6 de noviembre de </w:t>
      </w:r>
      <w:r w:rsidR="00A6770A" w:rsidRPr="00C86CE3">
        <w:rPr>
          <w:rFonts w:ascii="Palatino Linotype" w:eastAsia="Arial Unicode MS" w:hAnsi="Palatino Linotype" w:cs="Arial"/>
        </w:rPr>
        <w:t>2018,</w:t>
      </w:r>
      <w:r w:rsidR="00781220" w:rsidRPr="00C86CE3">
        <w:rPr>
          <w:rStyle w:val="Refdenotaalpie"/>
          <w:rFonts w:ascii="Palatino Linotype" w:eastAsia="Arial Unicode MS" w:hAnsi="Palatino Linotype" w:cs="Arial"/>
        </w:rPr>
        <w:footnoteReference w:id="2"/>
      </w:r>
      <w:r w:rsidR="00A6770A" w:rsidRPr="00C86CE3">
        <w:rPr>
          <w:rFonts w:ascii="Palatino Linotype" w:eastAsia="Arial Unicode MS" w:hAnsi="Palatino Linotype" w:cs="Arial"/>
        </w:rPr>
        <w:t xml:space="preserve"> donde se advierta el precio unitario con el impuesto al valor agregado, nombre del proveedor y</w:t>
      </w:r>
      <w:r w:rsidR="0076145D" w:rsidRPr="00C86CE3">
        <w:rPr>
          <w:rFonts w:ascii="Palatino Linotype" w:eastAsia="Arial Unicode MS" w:hAnsi="Palatino Linotype" w:cs="Arial"/>
        </w:rPr>
        <w:t xml:space="preserve"> la ubicación donde se instalaron.</w:t>
      </w:r>
    </w:p>
    <w:p w:rsidR="006B6446" w:rsidRPr="00C86CE3" w:rsidRDefault="00A6770A" w:rsidP="006B6446">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C86CE3">
        <w:rPr>
          <w:rFonts w:ascii="Palatino Linotype" w:hAnsi="Palatino Linotype" w:cs="Arial"/>
        </w:rPr>
        <w:t xml:space="preserve">Así, </w:t>
      </w:r>
      <w:r w:rsidR="006B6446" w:rsidRPr="00C86CE3">
        <w:rPr>
          <w:rFonts w:ascii="Palatino Linotype" w:hAnsi="Palatino Linotype"/>
        </w:rPr>
        <w:t xml:space="preserve">se omite el estudio de la naturaleza jurídica de la información pública </w:t>
      </w:r>
      <w:r w:rsidR="006B6446" w:rsidRPr="00C86CE3">
        <w:rPr>
          <w:rFonts w:ascii="Palatino Linotype" w:eastAsia="Arial Unicode MS" w:hAnsi="Palatino Linotype" w:cs="Arial"/>
        </w:rPr>
        <w:t xml:space="preserve">solicitada, en virtud de que </w:t>
      </w:r>
      <w:r w:rsidR="006B6446" w:rsidRPr="00C86CE3">
        <w:rPr>
          <w:rFonts w:ascii="Palatino Linotype" w:eastAsia="Arial Unicode MS" w:hAnsi="Palatino Linotype" w:cs="Arial"/>
          <w:b/>
          <w:color w:val="000000"/>
        </w:rPr>
        <w:t>EL SUJETO OBLIGADO</w:t>
      </w:r>
      <w:r w:rsidR="006B6446" w:rsidRPr="00C86CE3">
        <w:rPr>
          <w:rFonts w:ascii="Palatino Linotype" w:eastAsia="Arial Unicode MS" w:hAnsi="Palatino Linotype" w:cs="Arial"/>
        </w:rPr>
        <w:t xml:space="preserve"> mediante Informe Justificado adjuntó el oficio SAH/SSC/221/2018, signado por el Subdirector de Saneamiento y Construcción a través del cual, señaló que únicamente se cuenta con dos tipos de tapas las cuales se denominan Brocal con Tapa y Boca de Tormenta, donde la primera se coloca sobre la carpeta asfáltica, sobre la vialidad y la segunda es fija y se coloca en la guarnición y carpeta asfáltica sobre la banqueta, anexando a dicho oficio la</w:t>
      </w:r>
      <w:r w:rsidR="00EB2E3B" w:rsidRPr="00C86CE3">
        <w:rPr>
          <w:rFonts w:ascii="Palatino Linotype" w:eastAsia="Arial Unicode MS" w:hAnsi="Palatino Linotype" w:cs="Arial"/>
        </w:rPr>
        <w:t>s</w:t>
      </w:r>
      <w:r w:rsidR="006B6446" w:rsidRPr="00C86CE3">
        <w:rPr>
          <w:rFonts w:ascii="Palatino Linotype" w:eastAsia="Arial Unicode MS" w:hAnsi="Palatino Linotype" w:cs="Arial"/>
        </w:rPr>
        <w:t xml:space="preserve"> fotografías de ambas </w:t>
      </w:r>
      <w:r w:rsidR="006B6446" w:rsidRPr="00C86CE3">
        <w:rPr>
          <w:rFonts w:ascii="Palatino Linotype" w:eastAsia="Arial Unicode MS" w:hAnsi="Palatino Linotype" w:cs="Arial"/>
        </w:rPr>
        <w:lastRenderedPageBreak/>
        <w:t xml:space="preserve">(mismas que ya fueron insertas en párrafos </w:t>
      </w:r>
      <w:r w:rsidR="00EB2E3B" w:rsidRPr="00C86CE3">
        <w:rPr>
          <w:rFonts w:ascii="Palatino Linotype" w:eastAsia="Arial Unicode MS" w:hAnsi="Palatino Linotype" w:cs="Arial"/>
        </w:rPr>
        <w:t>anteriores</w:t>
      </w:r>
      <w:r w:rsidR="00CC30EA" w:rsidRPr="00C86CE3">
        <w:rPr>
          <w:rFonts w:ascii="Palatino Linotype" w:eastAsia="Arial Unicode MS" w:hAnsi="Palatino Linotype" w:cs="Arial"/>
        </w:rPr>
        <w:t xml:space="preserve">); </w:t>
      </w:r>
      <w:r w:rsidR="006B6446" w:rsidRPr="00C86CE3">
        <w:rPr>
          <w:rFonts w:ascii="Palatino Linotype" w:eastAsia="Arial Unicode MS" w:hAnsi="Palatino Linotype" w:cs="Arial"/>
        </w:rPr>
        <w:t xml:space="preserve">por lo que, </w:t>
      </w:r>
      <w:r w:rsidRPr="00C86CE3">
        <w:rPr>
          <w:rFonts w:ascii="Palatino Linotype" w:eastAsia="Arial Unicode MS" w:hAnsi="Palatino Linotype" w:cs="Arial"/>
        </w:rPr>
        <w:t xml:space="preserve">al haber tenido por no presentada la solicitud de información de </w:t>
      </w:r>
      <w:r w:rsidRPr="00C86CE3">
        <w:rPr>
          <w:rFonts w:ascii="Palatino Linotype" w:eastAsia="Arial Unicode MS" w:hAnsi="Palatino Linotype" w:cs="Arial"/>
          <w:b/>
        </w:rPr>
        <w:t>LA</w:t>
      </w:r>
      <w:r w:rsidR="00A90F1D" w:rsidRPr="00C86CE3">
        <w:rPr>
          <w:rFonts w:ascii="Palatino Linotype" w:eastAsia="Arial Unicode MS" w:hAnsi="Palatino Linotype" w:cs="Arial"/>
          <w:b/>
        </w:rPr>
        <w:t xml:space="preserve"> RECURRENTE</w:t>
      </w:r>
      <w:r w:rsidRPr="00C86CE3">
        <w:rPr>
          <w:rFonts w:ascii="Palatino Linotype" w:eastAsia="Arial Unicode MS" w:hAnsi="Palatino Linotype" w:cs="Arial"/>
          <w:b/>
        </w:rPr>
        <w:t xml:space="preserve"> </w:t>
      </w:r>
      <w:r w:rsidRPr="00C86CE3">
        <w:rPr>
          <w:rFonts w:ascii="Palatino Linotype" w:eastAsia="Arial Unicode MS" w:hAnsi="Palatino Linotype" w:cs="Arial"/>
        </w:rPr>
        <w:t xml:space="preserve">en un primer momento, </w:t>
      </w:r>
      <w:r w:rsidR="006B6446" w:rsidRPr="00C86CE3">
        <w:rPr>
          <w:rFonts w:ascii="Palatino Linotype" w:eastAsia="Arial Unicode MS" w:hAnsi="Palatino Linotype" w:cs="Arial"/>
        </w:rPr>
        <w:t xml:space="preserve">de manera implícita </w:t>
      </w:r>
      <w:r w:rsidRPr="00C86CE3">
        <w:rPr>
          <w:rFonts w:ascii="Palatino Linotype" w:eastAsia="Arial Unicode MS" w:hAnsi="Palatino Linotype" w:cs="Arial"/>
          <w:b/>
        </w:rPr>
        <w:t xml:space="preserve">EL SUJETO OBLIGADO </w:t>
      </w:r>
      <w:r w:rsidRPr="00C86CE3">
        <w:rPr>
          <w:rFonts w:ascii="Palatino Linotype" w:eastAsia="Arial Unicode MS" w:hAnsi="Palatino Linotype" w:cs="Arial"/>
        </w:rPr>
        <w:t xml:space="preserve">con dicho Informe Justificado </w:t>
      </w:r>
      <w:r w:rsidR="006B6446" w:rsidRPr="00C86CE3">
        <w:rPr>
          <w:rFonts w:ascii="Palatino Linotype" w:eastAsia="Arial Unicode MS" w:hAnsi="Palatino Linotype" w:cs="Arial"/>
        </w:rPr>
        <w:t xml:space="preserve">acepta poseer </w:t>
      </w:r>
      <w:r w:rsidRPr="00C86CE3">
        <w:rPr>
          <w:rFonts w:ascii="Palatino Linotype" w:eastAsia="Arial Unicode MS" w:hAnsi="Palatino Linotype" w:cs="Arial"/>
        </w:rPr>
        <w:t>la información que ha quedado precisada</w:t>
      </w:r>
      <w:r w:rsidR="00317553" w:rsidRPr="00C86CE3">
        <w:rPr>
          <w:rFonts w:ascii="Palatino Linotype" w:eastAsia="Arial Unicode MS" w:hAnsi="Palatino Linotype" w:cs="Arial"/>
        </w:rPr>
        <w:t>,</w:t>
      </w:r>
      <w:r w:rsidRPr="00C86CE3">
        <w:rPr>
          <w:rFonts w:ascii="Palatino Linotype" w:eastAsia="Arial Unicode MS" w:hAnsi="Palatino Linotype" w:cs="Arial"/>
        </w:rPr>
        <w:t xml:space="preserve"> a través de la suplencia realizada por este Órgano Garante, </w:t>
      </w:r>
      <w:r w:rsidR="006B6446" w:rsidRPr="00C86CE3">
        <w:rPr>
          <w:rFonts w:ascii="Palatino Linotype" w:eastAsia="Arial Unicode MS" w:hAnsi="Palatino Linotype" w:cs="Arial"/>
        </w:rPr>
        <w:t>razón suficiente para</w:t>
      </w:r>
      <w:r w:rsidRPr="00C86CE3">
        <w:rPr>
          <w:rFonts w:ascii="Palatino Linotype" w:eastAsia="Arial Unicode MS" w:hAnsi="Palatino Linotype" w:cs="Arial"/>
        </w:rPr>
        <w:t xml:space="preserve"> que resulten</w:t>
      </w:r>
      <w:r w:rsidR="006B6446" w:rsidRPr="00C86CE3">
        <w:rPr>
          <w:rFonts w:ascii="Palatino Linotype" w:eastAsia="Arial Unicode MS" w:hAnsi="Palatino Linotype" w:cs="Arial"/>
        </w:rPr>
        <w:t xml:space="preserve"> procede</w:t>
      </w:r>
      <w:r w:rsidRPr="00C86CE3">
        <w:rPr>
          <w:rFonts w:ascii="Palatino Linotype" w:eastAsia="Arial Unicode MS" w:hAnsi="Palatino Linotype" w:cs="Arial"/>
        </w:rPr>
        <w:t xml:space="preserve">ntes </w:t>
      </w:r>
      <w:r w:rsidR="006B6446" w:rsidRPr="00C86CE3">
        <w:rPr>
          <w:rFonts w:ascii="Palatino Linotype" w:eastAsia="Arial Unicode MS" w:hAnsi="Palatino Linotype" w:cs="Arial"/>
        </w:rPr>
        <w:t>los motivos de inconformidad vertidos</w:t>
      </w:r>
      <w:r w:rsidRPr="00C86CE3">
        <w:rPr>
          <w:rFonts w:ascii="Palatino Linotype" w:eastAsia="Arial Unicode MS" w:hAnsi="Palatino Linotype" w:cs="Arial"/>
        </w:rPr>
        <w:t xml:space="preserve"> en el recurso de revisión</w:t>
      </w:r>
      <w:r w:rsidR="006B6446" w:rsidRPr="00C86CE3">
        <w:rPr>
          <w:rFonts w:ascii="Palatino Linotype" w:eastAsia="Arial Unicode MS" w:hAnsi="Palatino Linotype" w:cs="Arial"/>
        </w:rPr>
        <w:t xml:space="preserve">, sin analizar previamente la naturaleza jurídica de aquélla. </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 xml:space="preserve">En ese tenor, debemos señalar que la Ley de la Contratación Pública del Estado de México y Municipios, tiene por objeto regular los actos relativos a la planeación, programación, presupuestación, ejecución y control </w:t>
      </w:r>
      <w:r w:rsidRPr="00C86CE3">
        <w:rPr>
          <w:rFonts w:ascii="Palatino Linotype" w:hAnsi="Palatino Linotype" w:cs="Arial"/>
          <w:b/>
        </w:rPr>
        <w:t>de la adquisición</w:t>
      </w:r>
      <w:r w:rsidRPr="00C86CE3">
        <w:rPr>
          <w:rFonts w:ascii="Palatino Linotype" w:hAnsi="Palatino Linotype" w:cs="Arial"/>
        </w:rPr>
        <w:t xml:space="preserve">, enajenación y arrendamiento </w:t>
      </w:r>
      <w:r w:rsidRPr="00C86CE3">
        <w:rPr>
          <w:rFonts w:ascii="Palatino Linotype" w:hAnsi="Palatino Linotype" w:cs="Arial"/>
          <w:b/>
        </w:rPr>
        <w:t>de bienes</w:t>
      </w:r>
      <w:r w:rsidRPr="00C86CE3">
        <w:rPr>
          <w:rFonts w:ascii="Palatino Linotype" w:hAnsi="Palatino Linotype" w:cs="Arial"/>
        </w:rPr>
        <w:t xml:space="preserve">, </w:t>
      </w:r>
      <w:r w:rsidRPr="00C86CE3">
        <w:rPr>
          <w:rFonts w:ascii="Palatino Linotype" w:hAnsi="Palatino Linotype" w:cs="Arial"/>
          <w:b/>
        </w:rPr>
        <w:t>y la contratación de servicios</w:t>
      </w:r>
      <w:r w:rsidRPr="00C86CE3">
        <w:rPr>
          <w:rFonts w:ascii="Palatino Linotype" w:hAnsi="Palatino Linotype" w:cs="Arial"/>
        </w:rPr>
        <w:t xml:space="preserve"> de cualquier naturaleza, que realicen los</w:t>
      </w:r>
      <w:r w:rsidR="008653E6" w:rsidRPr="00C86CE3">
        <w:rPr>
          <w:rFonts w:ascii="Palatino Linotype" w:hAnsi="Palatino Linotype" w:cs="Arial"/>
        </w:rPr>
        <w:t xml:space="preserve"> Organismos Autónomos de carácter Estatal y Municipal</w:t>
      </w:r>
      <w:r w:rsidR="007A43A1" w:rsidRPr="00C86CE3">
        <w:rPr>
          <w:rFonts w:ascii="Palatino Linotype" w:hAnsi="Palatino Linotype" w:cs="Arial"/>
        </w:rPr>
        <w:t>;</w:t>
      </w:r>
      <w:r w:rsidRPr="00C86CE3">
        <w:rPr>
          <w:rFonts w:ascii="Palatino Linotype" w:hAnsi="Palatino Linotype" w:cs="Arial"/>
        </w:rPr>
        <w:t xml:space="preserve"> es decir, es la normatividad que regula la contratación de adquisiciones de bienes y servicios que realicen los Sujetos Obligados.</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De igual forma, es de señalar que conforme al artículo 26 de la Ley de Contratación citada, las adquisiciones se adjudicarán a través de licitaciones públicas, invitación restringida o adjudicación directa, mediante convocatoria pública.</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lastRenderedPageBreak/>
        <w:t>Así pues, dichos documentos se regulan en la Ley de Contratación Pública del Estado de México y Municipios, tal y como lo establecen los artículos 4, 26 y 27 de dicha Ley, los cuales son del tenor siguiente:</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w:t>
      </w:r>
      <w:r w:rsidRPr="00C86CE3">
        <w:rPr>
          <w:rFonts w:ascii="Palatino Linotype" w:hAnsi="Palatino Linotype" w:cs="Arial"/>
          <w:b/>
          <w:i/>
          <w:sz w:val="22"/>
        </w:rPr>
        <w:t>Artículo 4.-</w:t>
      </w:r>
      <w:r w:rsidRPr="00C86CE3">
        <w:rPr>
          <w:rFonts w:ascii="Palatino Linotype" w:hAnsi="Palatino Linotype" w:cs="Arial"/>
          <w:i/>
          <w:sz w:val="22"/>
        </w:rPr>
        <w:t xml:space="preserve"> Para los efectos de esta Ley, en las adquisiciones, enajenaciones, arrendamientos y servicios, quedan comprendidos: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b/>
          <w:i/>
          <w:sz w:val="22"/>
        </w:rPr>
      </w:pPr>
      <w:r w:rsidRPr="00C86CE3">
        <w:rPr>
          <w:rFonts w:ascii="Palatino Linotype" w:hAnsi="Palatino Linotype" w:cs="Arial"/>
          <w:b/>
          <w:i/>
          <w:sz w:val="22"/>
        </w:rPr>
        <w:t xml:space="preserve">I. La adquisición de bienes muebles.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 xml:space="preserve">II. La adquisición de bienes inmuebles, a través de compraventa.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 xml:space="preserve">III. La enajenación de bienes muebles e inmuebles.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 xml:space="preserve">IV. El arrendamiento de bienes muebles e inmuebles.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b/>
          <w:i/>
          <w:sz w:val="22"/>
        </w:rPr>
      </w:pPr>
      <w:r w:rsidRPr="00C86CE3">
        <w:rPr>
          <w:rFonts w:ascii="Palatino Linotype" w:hAnsi="Palatino Linotype" w:cs="Arial"/>
          <w:b/>
          <w:i/>
          <w:sz w:val="22"/>
        </w:rPr>
        <w:t xml:space="preserve">VI. La contratación de los servicios de reconstrucción y mantenimiento de bienes muebles.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VII. La contratación de los servicios de maquila, seguros y transportación, así como de los de limpieza y vigilancia de bienes inmuebles</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En general, otros actos que impliquen la contratación de servicios de cualquier naturaleza.</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b/>
          <w:i/>
          <w:sz w:val="22"/>
        </w:rPr>
      </w:pPr>
      <w:r w:rsidRPr="00C86CE3">
        <w:rPr>
          <w:rFonts w:ascii="Palatino Linotype" w:hAnsi="Palatino Linotype" w:cs="Arial"/>
          <w:b/>
          <w:i/>
          <w:sz w:val="22"/>
        </w:rPr>
        <w:t>Artículo 26.- Las adquisiciones, arrendamientos y servicios se adjudicarán a través de licitaciones públicas, mediante convocatoria pública.</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b/>
          <w:i/>
          <w:sz w:val="22"/>
        </w:rPr>
        <w:t xml:space="preserve">Artículo 27.- </w:t>
      </w:r>
      <w:r w:rsidRPr="00C86CE3">
        <w:rPr>
          <w:rFonts w:ascii="Palatino Linotype" w:hAnsi="Palatino Linotype" w:cs="Arial"/>
          <w:i/>
          <w:sz w:val="22"/>
        </w:rPr>
        <w:t xml:space="preserve">La Secretaría, las entidades, los tribunales administrativos y </w:t>
      </w:r>
      <w:r w:rsidRPr="00C86CE3">
        <w:rPr>
          <w:rFonts w:ascii="Palatino Linotype" w:hAnsi="Palatino Linotype" w:cs="Arial"/>
          <w:b/>
          <w:i/>
          <w:sz w:val="22"/>
        </w:rPr>
        <w:t xml:space="preserve">los ayuntamientos podrán adjudicar adquisiciones, arrendamientos y servicios, </w:t>
      </w:r>
      <w:r w:rsidRPr="00C86CE3">
        <w:rPr>
          <w:rFonts w:ascii="Palatino Linotype" w:hAnsi="Palatino Linotype" w:cs="Arial"/>
          <w:b/>
          <w:i/>
          <w:sz w:val="22"/>
        </w:rPr>
        <w:lastRenderedPageBreak/>
        <w:t>mediante las excepciones al procedimiento de licitación que a continuación se señalan</w:t>
      </w:r>
      <w:r w:rsidRPr="00C86CE3">
        <w:rPr>
          <w:rFonts w:ascii="Palatino Linotype" w:hAnsi="Palatino Linotype" w:cs="Arial"/>
          <w:i/>
          <w:sz w:val="22"/>
        </w:rPr>
        <w:t xml:space="preserve">: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b/>
          <w:i/>
          <w:sz w:val="22"/>
        </w:rPr>
      </w:pPr>
      <w:r w:rsidRPr="00C86CE3">
        <w:rPr>
          <w:rFonts w:ascii="Palatino Linotype" w:hAnsi="Palatino Linotype" w:cs="Arial"/>
          <w:b/>
          <w:i/>
          <w:sz w:val="22"/>
        </w:rPr>
        <w:t xml:space="preserve">I. Invitación restringida. </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b/>
          <w:i/>
          <w:sz w:val="22"/>
        </w:rPr>
      </w:pPr>
      <w:r w:rsidRPr="00C86CE3">
        <w:rPr>
          <w:rFonts w:ascii="Palatino Linotype" w:hAnsi="Palatino Linotype" w:cs="Arial"/>
          <w:b/>
          <w:i/>
          <w:sz w:val="22"/>
        </w:rPr>
        <w:t>II. Adjudicación directa.”</w:t>
      </w:r>
    </w:p>
    <w:p w:rsidR="00F06322" w:rsidRPr="00C86CE3" w:rsidRDefault="00F06322" w:rsidP="00F06322">
      <w:pPr>
        <w:pStyle w:val="NormalWeb"/>
        <w:spacing w:before="240" w:beforeAutospacing="0" w:after="240" w:afterAutospacing="0" w:line="360" w:lineRule="auto"/>
        <w:ind w:right="757"/>
        <w:jc w:val="both"/>
        <w:rPr>
          <w:rFonts w:ascii="Palatino Linotype" w:hAnsi="Palatino Linotype" w:cs="Arial"/>
        </w:rPr>
      </w:pPr>
      <w:r w:rsidRPr="00C86CE3">
        <w:rPr>
          <w:rFonts w:ascii="Palatino Linotype" w:hAnsi="Palatino Linotype" w:cs="Arial"/>
        </w:rPr>
        <w:t xml:space="preserve">(Énfasis añadido) </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 xml:space="preserve">Asimismo, el artículo </w:t>
      </w:r>
      <w:r w:rsidR="00317553" w:rsidRPr="00C86CE3">
        <w:rPr>
          <w:rFonts w:ascii="Palatino Linotype" w:hAnsi="Palatino Linotype" w:cs="Arial"/>
        </w:rPr>
        <w:t>33 del mismo ordenamiento legal</w:t>
      </w:r>
      <w:r w:rsidRPr="00C86CE3">
        <w:rPr>
          <w:rFonts w:ascii="Palatino Linotype" w:hAnsi="Palatino Linotype" w:cs="Arial"/>
        </w:rPr>
        <w:t xml:space="preserve"> puntualmente señala el contenido que deberá tener la convocatoria para la celebración de las licitaciones públicas y</w:t>
      </w:r>
      <w:r w:rsidR="00317553" w:rsidRPr="00C86CE3">
        <w:rPr>
          <w:rFonts w:ascii="Palatino Linotype" w:hAnsi="Palatino Linotype" w:cs="Arial"/>
        </w:rPr>
        <w:t>,</w:t>
      </w:r>
      <w:r w:rsidRPr="00C86CE3">
        <w:rPr>
          <w:rFonts w:ascii="Palatino Linotype" w:hAnsi="Palatino Linotype" w:cs="Arial"/>
        </w:rPr>
        <w:t xml:space="preserve"> por su parte, el consecutivo 34 señala que las bases de la licitación pública tendrán un costo de recuperación y contendrán los requisitos que se establezcan en el reglamento de dicha Ley. </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Por lo que, en las licitaciones se debe seguir el procedimiento marcado en el artículo 35 del precitado ordenamiento, que literalmente establece:</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b/>
          <w:i/>
          <w:sz w:val="22"/>
        </w:rPr>
        <w:t>“Artículo 35</w:t>
      </w:r>
      <w:r w:rsidRPr="00C86CE3">
        <w:rPr>
          <w:rFonts w:ascii="Palatino Linotype" w:hAnsi="Palatino Linotype" w:cs="Arial"/>
          <w:i/>
          <w:sz w:val="22"/>
        </w:rPr>
        <w:t>.- En los procedimientos de licitación pública se observará lo siguiente:</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lastRenderedPageBreak/>
        <w:t>I. El acto de presentación y apertura de propuestas se llevará a cabo por el servidor público que designe la convocante, conforme al procedimiento que se establezca en el reglamento de esta Ley.</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VII. Se emitirá el fallo dentro de los 15 días hábiles siguientes a la publicación de la convocatoria.</w:t>
      </w:r>
    </w:p>
    <w:p w:rsidR="00F06322" w:rsidRPr="00C86CE3" w:rsidRDefault="00F06322" w:rsidP="00317553">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VIII. Los licitantes se podrán registrar hasta el día y la hora fijados para el acto de presentación y apertura de propuestas.</w:t>
      </w:r>
      <w:r w:rsidRPr="00C86CE3">
        <w:rPr>
          <w:rFonts w:ascii="Palatino Linotype" w:hAnsi="Palatino Linotype" w:cs="Arial"/>
          <w:b/>
          <w:i/>
          <w:sz w:val="22"/>
        </w:rPr>
        <w:t>”</w:t>
      </w:r>
      <w:r w:rsidR="00317553" w:rsidRPr="00C86CE3">
        <w:rPr>
          <w:rFonts w:ascii="Palatino Linotype" w:hAnsi="Palatino Linotype" w:cs="Arial"/>
          <w:i/>
          <w:sz w:val="22"/>
        </w:rPr>
        <w:t xml:space="preserve"> </w:t>
      </w:r>
      <w:r w:rsidRPr="00C86CE3">
        <w:rPr>
          <w:rFonts w:ascii="Palatino Linotype" w:hAnsi="Palatino Linotype" w:cs="Arial"/>
          <w:i/>
          <w:sz w:val="22"/>
        </w:rPr>
        <w:t>(</w:t>
      </w:r>
      <w:r w:rsidR="00317553" w:rsidRPr="00C86CE3">
        <w:rPr>
          <w:rFonts w:ascii="Palatino Linotype" w:hAnsi="Palatino Linotype" w:cs="Arial"/>
          <w:i/>
          <w:sz w:val="22"/>
        </w:rPr>
        <w:t>Sic)</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 xml:space="preserve">Del precepto legal, se desprende que al Comité de Adquisiciones y Servicios, le corresponde evaluar y analizar las propuestas técnicas y económicas presentadas por los licitantes en el ámbito de las respectivas competencias de sus integrantes, debiendo </w:t>
      </w:r>
      <w:r w:rsidR="00317553" w:rsidRPr="00C86CE3">
        <w:rPr>
          <w:rFonts w:ascii="Palatino Linotype" w:hAnsi="Palatino Linotype" w:cs="Arial"/>
        </w:rPr>
        <w:t>formular</w:t>
      </w:r>
      <w:r w:rsidRPr="00C86CE3">
        <w:rPr>
          <w:rFonts w:ascii="Palatino Linotype" w:hAnsi="Palatino Linotype" w:cs="Arial"/>
        </w:rPr>
        <w:t xml:space="preserve"> para ello un dictamen de adjudicación y conforme a dicho dictamen se deberá </w:t>
      </w:r>
      <w:r w:rsidRPr="00C86CE3">
        <w:rPr>
          <w:rFonts w:ascii="Palatino Linotype" w:hAnsi="Palatino Linotype" w:cs="Arial"/>
        </w:rPr>
        <w:lastRenderedPageBreak/>
        <w:t>emitir el fallo dentro de los quince días hábiles siguientes a la publicación de la convocatoria.</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Además, respecto al dictamen y el fallo de la adjudicación, es de señalar que la Ley en mención indica lo siguiente:</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b/>
          <w:i/>
          <w:sz w:val="22"/>
        </w:rPr>
        <w:t>“Artículo 37.-</w:t>
      </w:r>
      <w:r w:rsidRPr="00C86CE3">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b/>
          <w:i/>
          <w:sz w:val="22"/>
        </w:rPr>
        <w:t>Artículo 38.-</w:t>
      </w:r>
      <w:r w:rsidRPr="00C86CE3">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F06322" w:rsidRPr="00C86CE3" w:rsidRDefault="00F06322" w:rsidP="00F06322">
      <w:pPr>
        <w:pStyle w:val="NormalWeb"/>
        <w:spacing w:before="120" w:beforeAutospacing="0" w:after="120" w:afterAutospacing="0"/>
        <w:ind w:left="851" w:right="902"/>
        <w:jc w:val="both"/>
        <w:rPr>
          <w:rFonts w:ascii="Palatino Linotype" w:hAnsi="Palatino Linotype" w:cs="Arial"/>
          <w:i/>
          <w:sz w:val="22"/>
        </w:rPr>
      </w:pPr>
      <w:r w:rsidRPr="00C86CE3">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C86CE3">
        <w:rPr>
          <w:rFonts w:ascii="Palatino Linotype" w:hAnsi="Palatino Linotype" w:cs="Arial"/>
          <w:b/>
          <w:i/>
          <w:sz w:val="22"/>
        </w:rPr>
        <w:t>”</w:t>
      </w:r>
      <w:r w:rsidRPr="00C86CE3">
        <w:rPr>
          <w:rFonts w:ascii="Palatino Linotype" w:hAnsi="Palatino Linotype" w:cs="Arial"/>
          <w:i/>
          <w:sz w:val="22"/>
        </w:rPr>
        <w:t xml:space="preserve"> </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Ahora bien, por cuanto hace a la invitación restringida, es de señalar que esta podrá realizarse</w:t>
      </w:r>
      <w:r w:rsidR="00317553" w:rsidRPr="00C86CE3">
        <w:rPr>
          <w:rFonts w:ascii="Palatino Linotype" w:hAnsi="Palatino Linotype" w:cs="Arial"/>
        </w:rPr>
        <w:t>,</w:t>
      </w:r>
      <w:r w:rsidRPr="00C86CE3">
        <w:rPr>
          <w:rFonts w:ascii="Palatino Linotype" w:hAnsi="Palatino Linotype" w:cs="Arial"/>
        </w:rPr>
        <w:t xml:space="preserve"> en términos de lo dispuesto en el artículo 44 de la Ley de la Contratación Pública del Estado de México y Municipios, cuando se hubiere declarado desierto un procedimiento de licitación o cuando el importe de la operación no exceda de los </w:t>
      </w:r>
      <w:r w:rsidRPr="00C86CE3">
        <w:rPr>
          <w:rFonts w:ascii="Palatino Linotype" w:hAnsi="Palatino Linotype" w:cs="Arial"/>
        </w:rPr>
        <w:lastRenderedPageBreak/>
        <w:t xml:space="preserve">montos establecidos por el Presupuesto de Egresos del Gobierno del Estado de México del ejercicio correspondiente. </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b/>
          <w:i/>
          <w:sz w:val="22"/>
        </w:rPr>
        <w:t>“Artículo 46.-</w:t>
      </w:r>
      <w:r w:rsidRPr="00C86CE3">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Por ello, el Reglamento de la Ley en comento, en su artículo 90, indica cuales lo son los supuestos que deberán observarse para llevar a cabo dicho procedimiento:</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b/>
          <w:i/>
          <w:sz w:val="22"/>
        </w:rPr>
        <w:t>Artículo 90.-</w:t>
      </w:r>
      <w:r w:rsidRPr="00C86CE3">
        <w:rPr>
          <w:rFonts w:ascii="Palatino Linotype" w:hAnsi="Palatino Linotype" w:cs="Arial"/>
          <w:i/>
          <w:sz w:val="22"/>
        </w:rPr>
        <w:t xml:space="preserve"> En el procedimiento de invitación restringida se deberá observar lo siguiente:</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I. Se invitará a un mínimo de tres personas seleccionadas de entre las que se encuentren inscritas e n el catálogo de proveedores y de prestadores de servicios.</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II. Las bases de la invitación restringida indicarán los aspectos de la adquisición o contratación; y</w:t>
      </w:r>
    </w:p>
    <w:p w:rsidR="00F06322" w:rsidRPr="00C86CE3" w:rsidRDefault="00F06322" w:rsidP="00F06322">
      <w:pPr>
        <w:pStyle w:val="NormalWeb"/>
        <w:spacing w:before="120" w:beforeAutospacing="0" w:after="120" w:afterAutospacing="0"/>
        <w:ind w:left="709" w:right="760"/>
        <w:jc w:val="both"/>
        <w:rPr>
          <w:rFonts w:ascii="Palatino Linotype" w:hAnsi="Palatino Linotype" w:cs="Arial"/>
          <w:i/>
          <w:sz w:val="22"/>
        </w:rPr>
      </w:pPr>
      <w:r w:rsidRPr="00C86CE3">
        <w:rPr>
          <w:rFonts w:ascii="Palatino Linotype" w:hAnsi="Palatino Linotype" w:cs="Arial"/>
          <w:i/>
          <w:sz w:val="22"/>
        </w:rPr>
        <w:t>III. Serán aplicables, en lo conducente, las disposiciones de la licitación pública.</w:t>
      </w:r>
      <w:r w:rsidRPr="00C86CE3">
        <w:rPr>
          <w:rFonts w:ascii="Palatino Linotype" w:hAnsi="Palatino Linotype" w:cs="Arial"/>
          <w:b/>
          <w:i/>
          <w:sz w:val="22"/>
        </w:rPr>
        <w:t>”</w:t>
      </w:r>
      <w:r w:rsidR="00924873" w:rsidRPr="00C86CE3">
        <w:rPr>
          <w:rFonts w:ascii="Palatino Linotype" w:hAnsi="Palatino Linotype" w:cs="Arial"/>
          <w:b/>
          <w:i/>
          <w:sz w:val="22"/>
        </w:rPr>
        <w:t xml:space="preserve"> </w:t>
      </w:r>
      <w:r w:rsidR="00924873" w:rsidRPr="00C86CE3">
        <w:rPr>
          <w:rFonts w:ascii="Palatino Linotype" w:hAnsi="Palatino Linotype" w:cs="Arial"/>
          <w:i/>
          <w:sz w:val="22"/>
        </w:rPr>
        <w:t>(Sic)</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F06322" w:rsidRPr="00C86CE3" w:rsidRDefault="00317553"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lastRenderedPageBreak/>
        <w:t>Por último, y por</w:t>
      </w:r>
      <w:r w:rsidR="00F06322" w:rsidRPr="00C86CE3">
        <w:rPr>
          <w:rFonts w:ascii="Palatino Linotype" w:hAnsi="Palatino Linotype" w:cs="Arial"/>
        </w:rPr>
        <w:t xml:space="preserve"> cuanto hace a la adjudicación directa, el artículo 48 de la Ley de la Contratación Pública del Estado de México y Municipios y</w:t>
      </w:r>
      <w:r w:rsidRPr="00C86CE3">
        <w:rPr>
          <w:rFonts w:ascii="Palatino Linotype" w:hAnsi="Palatino Linotype" w:cs="Arial"/>
        </w:rPr>
        <w:t xml:space="preserve"> el diverso 91 del Reglamento de dicha Ley</w:t>
      </w:r>
      <w:r w:rsidR="00F06322" w:rsidRPr="00C86CE3">
        <w:rPr>
          <w:rFonts w:ascii="Palatino Linotype" w:hAnsi="Palatino Linotype" w:cs="Arial"/>
        </w:rPr>
        <w:t xml:space="preserve"> indican en qué supuestos puede llevarse a cabo este procedimiento.</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F06322" w:rsidRPr="00C86CE3" w:rsidRDefault="00F06322" w:rsidP="00F06322">
      <w:pPr>
        <w:pStyle w:val="NormalWeb"/>
        <w:spacing w:before="240" w:beforeAutospacing="0" w:after="240" w:afterAutospacing="0" w:line="360" w:lineRule="auto"/>
        <w:jc w:val="both"/>
        <w:rPr>
          <w:rFonts w:ascii="Palatino Linotype" w:hAnsi="Palatino Linotype" w:cs="Arial"/>
        </w:rPr>
      </w:pPr>
      <w:r w:rsidRPr="00C86CE3">
        <w:rPr>
          <w:rFonts w:ascii="Palatino Linotype" w:hAnsi="Palatino Linotype" w:cs="Arial"/>
        </w:rPr>
        <w:t xml:space="preserve">Además, el artículo 94 del mismo Reglamento, detalla el procedimiento que se llevará a cabo en la adjudicación directa, de la siguiente manera: </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b/>
          <w:i/>
          <w:sz w:val="22"/>
        </w:rPr>
        <w:t>“</w:t>
      </w:r>
      <w:r w:rsidRPr="00C86CE3">
        <w:rPr>
          <w:rFonts w:ascii="Palatino Linotype" w:hAnsi="Palatino Linotype" w:cs="Arial"/>
          <w:i/>
          <w:sz w:val="22"/>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i/>
          <w:sz w:val="22"/>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i/>
          <w:sz w:val="22"/>
        </w:rPr>
        <w:t>III. La solicitud de participación contendrá, como mínimo, la descripción y cantidad de los bienes o servicios requeridos, lugar, plazo de entrega o duración del servicio y forma de pago;</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i/>
          <w:sz w:val="22"/>
        </w:rPr>
        <w:lastRenderedPageBreak/>
        <w:t>IV. La solicitud de participación deberá señalar el día, hora y lugar en que tendrá verificativo el acto de presentación y apertura de ofertas;</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i/>
          <w:sz w:val="22"/>
        </w:rPr>
        <w:t>V. Atendiendo a la naturaleza de los bienes o servicios, la convocante podrá optar entre celebrar o no junta de aclaraciones, en términos de lo dispuesto por este Reglamento;</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i/>
          <w:sz w:val="22"/>
        </w:rPr>
        <w:t>VI. El servidor público designado por la convocante será el responsable de llevar a cabo el acto de presentación y apertura de propuestas;</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i/>
          <w:sz w:val="22"/>
        </w:rPr>
        <w:t>VII. Se observarán, en lo conducente, las disposiciones relativas a la contraoferta; y</w:t>
      </w:r>
    </w:p>
    <w:p w:rsidR="00F06322" w:rsidRPr="00C86CE3" w:rsidRDefault="00F06322" w:rsidP="00F06322">
      <w:pPr>
        <w:pStyle w:val="NormalWeb"/>
        <w:spacing w:before="120" w:beforeAutospacing="0" w:after="120" w:afterAutospacing="0"/>
        <w:ind w:left="851" w:right="851"/>
        <w:jc w:val="both"/>
        <w:rPr>
          <w:rFonts w:ascii="Palatino Linotype" w:hAnsi="Palatino Linotype" w:cs="Arial"/>
          <w:i/>
          <w:sz w:val="22"/>
        </w:rPr>
      </w:pPr>
      <w:r w:rsidRPr="00C86CE3">
        <w:rPr>
          <w:rFonts w:ascii="Palatino Linotype" w:hAnsi="Palatino Linotype" w:cs="Arial"/>
          <w:i/>
          <w:sz w:val="22"/>
        </w:rPr>
        <w:t>VIII. El comité será responsable de emitir el dictamen de adjudicación que servirá de base para el fallo de adjudicación; correspondiendo a la convocante emitir dicho fallo, quien lo hará del conocimiento de los licitantes.</w:t>
      </w:r>
      <w:r w:rsidRPr="00C86CE3">
        <w:rPr>
          <w:rFonts w:ascii="Palatino Linotype" w:hAnsi="Palatino Linotype" w:cs="Arial"/>
          <w:b/>
          <w:i/>
          <w:sz w:val="22"/>
        </w:rPr>
        <w:t>”</w:t>
      </w:r>
      <w:r w:rsidRPr="00C86CE3">
        <w:rPr>
          <w:rFonts w:ascii="Palatino Linotype" w:hAnsi="Palatino Linotype" w:cs="Arial"/>
          <w:i/>
          <w:sz w:val="22"/>
        </w:rPr>
        <w:t xml:space="preserve"> (Sic)</w:t>
      </w:r>
    </w:p>
    <w:p w:rsidR="00F06322" w:rsidRPr="00C86CE3" w:rsidRDefault="00F06322" w:rsidP="00F06322">
      <w:pPr>
        <w:spacing w:before="240" w:after="240" w:line="360" w:lineRule="auto"/>
        <w:jc w:val="both"/>
        <w:rPr>
          <w:rFonts w:ascii="Palatino Linotype" w:hAnsi="Palatino Linotype" w:cs="Arial"/>
        </w:rPr>
      </w:pPr>
      <w:r w:rsidRPr="00C86CE3">
        <w:rPr>
          <w:rFonts w:ascii="Palatino Linotype" w:hAnsi="Palatino Linotype"/>
        </w:rPr>
        <w:t xml:space="preserve">En este sentido, </w:t>
      </w:r>
      <w:r w:rsidRPr="00C86CE3">
        <w:rPr>
          <w:rFonts w:ascii="Palatino Linotype" w:hAnsi="Palatino Linotype" w:cs="Arial"/>
        </w:rPr>
        <w:t>debe decirse que los expedientes de las adquisiciones, arrendamientos, enajenaciones y servicios, dicha información es considerada pública de oficio, y que debe poseer </w:t>
      </w:r>
      <w:r w:rsidRPr="00C86CE3">
        <w:rPr>
          <w:rFonts w:ascii="Palatino Linotype" w:hAnsi="Palatino Linotype" w:cs="Arial"/>
          <w:b/>
        </w:rPr>
        <w:t>EL SUJETO OBLIGADO</w:t>
      </w:r>
      <w:r w:rsidRPr="00C86CE3">
        <w:rPr>
          <w:rFonts w:ascii="Palatino Linotype" w:hAnsi="Palatino Linotype" w:cs="Arial"/>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rsidR="00F06322" w:rsidRPr="00C86CE3" w:rsidRDefault="00F06322" w:rsidP="00F06322">
      <w:pPr>
        <w:spacing w:before="240" w:after="240" w:line="360" w:lineRule="auto"/>
        <w:jc w:val="both"/>
        <w:rPr>
          <w:rFonts w:ascii="Palatino Linotype" w:hAnsi="Palatino Linotype" w:cs="Arial"/>
        </w:rPr>
      </w:pPr>
      <w:r w:rsidRPr="00C86CE3">
        <w:rPr>
          <w:rFonts w:ascii="Palatino Linotype" w:hAnsi="Palatino Linotype" w:cs="Arial"/>
        </w:rPr>
        <w:t> Así pues, el artículo 92 de la de la Ley de Transparencia y Acceso a la Información Pública del Estado de México y Municipios, en su fracción XXIX, dispone lo siguiente:</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lastRenderedPageBreak/>
        <w:t>“Artículo 92. </w:t>
      </w:r>
      <w:r w:rsidRPr="00C86CE3">
        <w:rPr>
          <w:rFonts w:ascii="Palatino Linotype" w:hAnsi="Palatino Linotype" w:cs="Arial"/>
          <w:i/>
          <w:iCs/>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XXIX. </w:t>
      </w:r>
      <w:r w:rsidRPr="00C86CE3">
        <w:rPr>
          <w:rFonts w:ascii="Palatino Linotype" w:hAnsi="Palatino Linotype" w:cs="Arial"/>
          <w:i/>
          <w:iCs/>
          <w:sz w:val="22"/>
          <w:szCs w:val="22"/>
          <w:lang w:eastAsia="es-MX"/>
        </w:rPr>
        <w:t>La información sobre los procesos y resultados sobre procedimientos de adjudicación directa, invitación restringida y licitación de cualquier naturaleza, </w:t>
      </w:r>
      <w:r w:rsidRPr="00C86CE3">
        <w:rPr>
          <w:rFonts w:ascii="Palatino Linotype" w:hAnsi="Palatino Linotype" w:cs="Arial"/>
          <w:b/>
          <w:bCs/>
          <w:i/>
          <w:iCs/>
          <w:sz w:val="22"/>
          <w:szCs w:val="22"/>
          <w:lang w:eastAsia="es-MX"/>
        </w:rPr>
        <w:t>incluyendo la versión pública del expediente respectivo y de los contratos</w:t>
      </w:r>
      <w:r w:rsidRPr="00C86CE3">
        <w:rPr>
          <w:rFonts w:ascii="Palatino Linotype" w:hAnsi="Palatino Linotype" w:cs="Arial"/>
          <w:i/>
          <w:iCs/>
          <w:sz w:val="22"/>
          <w:szCs w:val="22"/>
          <w:lang w:eastAsia="es-MX"/>
        </w:rPr>
        <w:t> celebrados, que deberán contener, por los menos, lo siguiente:</w:t>
      </w:r>
    </w:p>
    <w:p w:rsidR="00F06322" w:rsidRPr="00C86CE3" w:rsidRDefault="00F06322" w:rsidP="00F06322">
      <w:pPr>
        <w:shd w:val="clear" w:color="auto" w:fill="FFFFFF"/>
        <w:spacing w:before="240" w:after="240"/>
        <w:ind w:left="851" w:right="850"/>
        <w:jc w:val="both"/>
        <w:rPr>
          <w:rFonts w:ascii="Arial" w:hAnsi="Arial" w:cs="Arial"/>
          <w:b/>
          <w:sz w:val="22"/>
          <w:szCs w:val="22"/>
          <w:lang w:eastAsia="es-MX"/>
        </w:rPr>
      </w:pPr>
      <w:r w:rsidRPr="00C86CE3">
        <w:rPr>
          <w:rFonts w:ascii="Palatino Linotype" w:hAnsi="Palatino Linotype" w:cs="Arial"/>
          <w:b/>
          <w:bCs/>
          <w:i/>
          <w:iCs/>
          <w:sz w:val="22"/>
          <w:szCs w:val="22"/>
          <w:lang w:eastAsia="es-MX"/>
        </w:rPr>
        <w:t>a) </w:t>
      </w:r>
      <w:r w:rsidRPr="00C86CE3">
        <w:rPr>
          <w:rFonts w:ascii="Palatino Linotype" w:hAnsi="Palatino Linotype" w:cs="Arial"/>
          <w:b/>
          <w:i/>
          <w:iCs/>
          <w:sz w:val="22"/>
          <w:szCs w:val="22"/>
          <w:lang w:eastAsia="es-MX"/>
        </w:rPr>
        <w:t>De licitaciones públicas o procedimientos de invitación restringida:</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1)</w:t>
      </w:r>
      <w:r w:rsidRPr="00C86CE3">
        <w:rPr>
          <w:rFonts w:ascii="Palatino Linotype" w:hAnsi="Palatino Linotype" w:cs="Arial"/>
          <w:i/>
          <w:iCs/>
          <w:sz w:val="22"/>
          <w:szCs w:val="22"/>
          <w:lang w:eastAsia="es-MX"/>
        </w:rPr>
        <w:t> La convocatoria o invitación emitida, así como los fundamentos legales aplicados para llevarla a cabo;</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2) </w:t>
      </w:r>
      <w:r w:rsidRPr="00C86CE3">
        <w:rPr>
          <w:rFonts w:ascii="Palatino Linotype" w:hAnsi="Palatino Linotype" w:cs="Arial"/>
          <w:i/>
          <w:iCs/>
          <w:sz w:val="22"/>
          <w:szCs w:val="22"/>
          <w:lang w:eastAsia="es-MX"/>
        </w:rPr>
        <w:t>Los nombres de los participantes o invitados;</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3)</w:t>
      </w:r>
      <w:r w:rsidRPr="00C86CE3">
        <w:rPr>
          <w:rFonts w:ascii="Palatino Linotype" w:hAnsi="Palatino Linotype" w:cs="Arial"/>
          <w:i/>
          <w:iCs/>
          <w:sz w:val="22"/>
          <w:szCs w:val="22"/>
          <w:lang w:eastAsia="es-MX"/>
        </w:rPr>
        <w:t> El nombre del ganador y las razones que lo justifican;</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4) </w:t>
      </w:r>
      <w:r w:rsidRPr="00C86CE3">
        <w:rPr>
          <w:rFonts w:ascii="Palatino Linotype" w:hAnsi="Palatino Linotype" w:cs="Arial"/>
          <w:i/>
          <w:iCs/>
          <w:sz w:val="22"/>
          <w:szCs w:val="22"/>
          <w:lang w:eastAsia="es-MX"/>
        </w:rPr>
        <w:t>El área solicitante y la responsable de su ejecución;</w:t>
      </w:r>
      <w:r w:rsidR="0076145D" w:rsidRPr="00C86CE3">
        <w:rPr>
          <w:rFonts w:ascii="Palatino Linotype" w:hAnsi="Palatino Linotype" w:cs="Arial"/>
          <w:i/>
          <w:iCs/>
          <w:sz w:val="22"/>
          <w:szCs w:val="22"/>
          <w:lang w:eastAsia="es-MX"/>
        </w:rPr>
        <w:t xml:space="preserve"> </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5) </w:t>
      </w:r>
      <w:r w:rsidRPr="00C86CE3">
        <w:rPr>
          <w:rFonts w:ascii="Palatino Linotype" w:hAnsi="Palatino Linotype" w:cs="Arial"/>
          <w:i/>
          <w:iCs/>
          <w:sz w:val="22"/>
          <w:szCs w:val="22"/>
          <w:lang w:eastAsia="es-MX"/>
        </w:rPr>
        <w:t>Las convocatorias e invitaciones emitidas;</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6)</w:t>
      </w:r>
      <w:r w:rsidRPr="00C86CE3">
        <w:rPr>
          <w:rFonts w:ascii="Palatino Linotype" w:hAnsi="Palatino Linotype" w:cs="Arial"/>
          <w:i/>
          <w:iCs/>
          <w:sz w:val="22"/>
          <w:szCs w:val="22"/>
          <w:lang w:eastAsia="es-MX"/>
        </w:rPr>
        <w:t> Los dictámenes y fallo de adjudicación;</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7)</w:t>
      </w:r>
      <w:r w:rsidRPr="00C86CE3">
        <w:rPr>
          <w:rFonts w:ascii="Palatino Linotype" w:hAnsi="Palatino Linotype" w:cs="Arial"/>
          <w:bCs/>
          <w:i/>
          <w:iCs/>
          <w:sz w:val="22"/>
          <w:szCs w:val="22"/>
          <w:lang w:eastAsia="es-MX"/>
        </w:rPr>
        <w:t> El contrato y, en su caso, sus anexos;</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8) </w:t>
      </w:r>
      <w:r w:rsidRPr="00C86CE3">
        <w:rPr>
          <w:rFonts w:ascii="Palatino Linotype" w:hAnsi="Palatino Linotype" w:cs="Arial"/>
          <w:i/>
          <w:iCs/>
          <w:sz w:val="22"/>
          <w:szCs w:val="22"/>
          <w:lang w:eastAsia="es-MX"/>
        </w:rPr>
        <w:t>Los mecanismos de vigilancia y supervisión, incluyendo en su caso, los estudios de impacto urbano y ambiental, según corresponda;</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9) </w:t>
      </w:r>
      <w:r w:rsidRPr="00C86CE3">
        <w:rPr>
          <w:rFonts w:ascii="Palatino Linotype" w:hAnsi="Palatino Linotype" w:cs="Arial"/>
          <w:i/>
          <w:iCs/>
          <w:sz w:val="22"/>
          <w:szCs w:val="22"/>
          <w:lang w:eastAsia="es-MX"/>
        </w:rPr>
        <w:t>La partida presupuestal, de conformidad con el clasificador por objeto del gasto, en el caso de ser aplicable;</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lastRenderedPageBreak/>
        <w:t>10) </w:t>
      </w:r>
      <w:r w:rsidRPr="00C86CE3">
        <w:rPr>
          <w:rFonts w:ascii="Palatino Linotype" w:hAnsi="Palatino Linotype" w:cs="Arial"/>
          <w:i/>
          <w:iCs/>
          <w:sz w:val="22"/>
          <w:szCs w:val="22"/>
          <w:lang w:eastAsia="es-MX"/>
        </w:rPr>
        <w:t>Origen de los recursos especificando si son federales, estatales o municipales, así como el tipo de fondo de participación o aportación respectiva;</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11) </w:t>
      </w:r>
      <w:r w:rsidRPr="00C86CE3">
        <w:rPr>
          <w:rFonts w:ascii="Palatino Linotype" w:hAnsi="Palatino Linotype" w:cs="Arial"/>
          <w:i/>
          <w:iCs/>
          <w:sz w:val="22"/>
          <w:szCs w:val="22"/>
          <w:lang w:eastAsia="es-MX"/>
        </w:rPr>
        <w:t>Los convenios modificatorios que, en su caso, sean firmados, precisando el objeto y la fecha de celebración;</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12) </w:t>
      </w:r>
      <w:r w:rsidRPr="00C86CE3">
        <w:rPr>
          <w:rFonts w:ascii="Palatino Linotype" w:hAnsi="Palatino Linotype" w:cs="Arial"/>
          <w:i/>
          <w:iCs/>
          <w:sz w:val="22"/>
          <w:szCs w:val="22"/>
          <w:lang w:eastAsia="es-MX"/>
        </w:rPr>
        <w:t>Los informes de avance físico y financiero sobre las obras o servicios contratados;</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13) </w:t>
      </w:r>
      <w:r w:rsidRPr="00C86CE3">
        <w:rPr>
          <w:rFonts w:ascii="Palatino Linotype" w:hAnsi="Palatino Linotype" w:cs="Arial"/>
          <w:i/>
          <w:iCs/>
          <w:sz w:val="22"/>
          <w:szCs w:val="22"/>
          <w:lang w:eastAsia="es-MX"/>
        </w:rPr>
        <w:t>El convenio de terminación; y</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14) </w:t>
      </w:r>
      <w:r w:rsidRPr="00C86CE3">
        <w:rPr>
          <w:rFonts w:ascii="Palatino Linotype" w:hAnsi="Palatino Linotype" w:cs="Arial"/>
          <w:i/>
          <w:iCs/>
          <w:sz w:val="22"/>
          <w:szCs w:val="22"/>
          <w:lang w:eastAsia="es-MX"/>
        </w:rPr>
        <w:t>El finiquito.</w:t>
      </w:r>
    </w:p>
    <w:p w:rsidR="00F06322" w:rsidRPr="00C86CE3" w:rsidRDefault="00F06322" w:rsidP="00F06322">
      <w:pPr>
        <w:shd w:val="clear" w:color="auto" w:fill="FFFFFF"/>
        <w:spacing w:before="240" w:after="240"/>
        <w:ind w:left="851" w:right="850"/>
        <w:jc w:val="both"/>
        <w:rPr>
          <w:rFonts w:ascii="Arial" w:hAnsi="Arial" w:cs="Arial"/>
          <w:b/>
          <w:sz w:val="22"/>
          <w:szCs w:val="22"/>
          <w:lang w:eastAsia="es-MX"/>
        </w:rPr>
      </w:pPr>
      <w:r w:rsidRPr="00C86CE3">
        <w:rPr>
          <w:rFonts w:ascii="Palatino Linotype" w:hAnsi="Palatino Linotype" w:cs="Arial"/>
          <w:b/>
          <w:bCs/>
          <w:i/>
          <w:iCs/>
          <w:sz w:val="22"/>
          <w:szCs w:val="22"/>
          <w:lang w:eastAsia="es-MX"/>
        </w:rPr>
        <w:t>b) </w:t>
      </w:r>
      <w:r w:rsidRPr="00C86CE3">
        <w:rPr>
          <w:rFonts w:ascii="Palatino Linotype" w:hAnsi="Palatino Linotype" w:cs="Arial"/>
          <w:b/>
          <w:i/>
          <w:iCs/>
          <w:sz w:val="22"/>
          <w:szCs w:val="22"/>
          <w:lang w:eastAsia="es-MX"/>
        </w:rPr>
        <w:t>De las adjudicaciones directas:</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1) </w:t>
      </w:r>
      <w:r w:rsidRPr="00C86CE3">
        <w:rPr>
          <w:rFonts w:ascii="Palatino Linotype" w:hAnsi="Palatino Linotype" w:cs="Arial"/>
          <w:i/>
          <w:iCs/>
          <w:sz w:val="22"/>
          <w:szCs w:val="22"/>
          <w:lang w:eastAsia="es-MX"/>
        </w:rPr>
        <w:t>La propuesta enviada por el participante;</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2) </w:t>
      </w:r>
      <w:r w:rsidRPr="00C86CE3">
        <w:rPr>
          <w:rFonts w:ascii="Palatino Linotype" w:hAnsi="Palatino Linotype" w:cs="Arial"/>
          <w:i/>
          <w:iCs/>
          <w:sz w:val="22"/>
          <w:szCs w:val="22"/>
          <w:lang w:eastAsia="es-MX"/>
        </w:rPr>
        <w:t>Los motivos y fundamentos legales aplicados para llevarla a cabo;</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3) </w:t>
      </w:r>
      <w:r w:rsidRPr="00C86CE3">
        <w:rPr>
          <w:rFonts w:ascii="Palatino Linotype" w:hAnsi="Palatino Linotype" w:cs="Arial"/>
          <w:i/>
          <w:iCs/>
          <w:sz w:val="22"/>
          <w:szCs w:val="22"/>
          <w:lang w:eastAsia="es-MX"/>
        </w:rPr>
        <w:t>La autorización del ejercicio de la opción;</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4) </w:t>
      </w:r>
      <w:r w:rsidRPr="00C86CE3">
        <w:rPr>
          <w:rFonts w:ascii="Palatino Linotype" w:hAnsi="Palatino Linotype" w:cs="Arial"/>
          <w:i/>
          <w:iCs/>
          <w:sz w:val="22"/>
          <w:szCs w:val="22"/>
          <w:lang w:eastAsia="es-MX"/>
        </w:rPr>
        <w:t>En su caso, las cotizaciones consideradas, especificando los nombres de los proveedores y sus montos;</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5) </w:t>
      </w:r>
      <w:r w:rsidRPr="00C86CE3">
        <w:rPr>
          <w:rFonts w:ascii="Palatino Linotype" w:hAnsi="Palatino Linotype" w:cs="Arial"/>
          <w:i/>
          <w:iCs/>
          <w:sz w:val="22"/>
          <w:szCs w:val="22"/>
          <w:lang w:eastAsia="es-MX"/>
        </w:rPr>
        <w:t>El nombre de la persona física o jurídica colectiva adjudicada;</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6) </w:t>
      </w:r>
      <w:r w:rsidRPr="00C86CE3">
        <w:rPr>
          <w:rFonts w:ascii="Palatino Linotype" w:hAnsi="Palatino Linotype" w:cs="Arial"/>
          <w:i/>
          <w:iCs/>
          <w:sz w:val="22"/>
          <w:szCs w:val="22"/>
          <w:lang w:eastAsia="es-MX"/>
        </w:rPr>
        <w:t>La unidad administrativa solicitante y la responsable de su ejecución;</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7)</w:t>
      </w:r>
      <w:r w:rsidRPr="00C86CE3">
        <w:rPr>
          <w:rFonts w:ascii="Palatino Linotype" w:hAnsi="Palatino Linotype" w:cs="Arial"/>
          <w:bCs/>
          <w:i/>
          <w:iCs/>
          <w:sz w:val="22"/>
          <w:szCs w:val="22"/>
          <w:lang w:eastAsia="es-MX"/>
        </w:rPr>
        <w:t> El número, fecha, el monto del contrato y el plazo de entrega o de ejecución de los servicios u obra;</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8) </w:t>
      </w:r>
      <w:r w:rsidRPr="00C86CE3">
        <w:rPr>
          <w:rFonts w:ascii="Palatino Linotype" w:hAnsi="Palatino Linotype" w:cs="Arial"/>
          <w:i/>
          <w:iCs/>
          <w:sz w:val="22"/>
          <w:szCs w:val="22"/>
          <w:lang w:eastAsia="es-MX"/>
        </w:rPr>
        <w:t>Los mecanismos de vigilancia y supervisión, incluyendo, en su caso, los estudios de impacto urbano y ambiental, según corresponda;</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9) </w:t>
      </w:r>
      <w:r w:rsidRPr="00C86CE3">
        <w:rPr>
          <w:rFonts w:ascii="Palatino Linotype" w:hAnsi="Palatino Linotype" w:cs="Arial"/>
          <w:i/>
          <w:iCs/>
          <w:sz w:val="22"/>
          <w:szCs w:val="22"/>
          <w:lang w:eastAsia="es-MX"/>
        </w:rPr>
        <w:t>Los informes de avance sobre las obras o servicios contratados;</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t>10) </w:t>
      </w:r>
      <w:r w:rsidRPr="00C86CE3">
        <w:rPr>
          <w:rFonts w:ascii="Palatino Linotype" w:hAnsi="Palatino Linotype" w:cs="Arial"/>
          <w:i/>
          <w:iCs/>
          <w:sz w:val="22"/>
          <w:szCs w:val="22"/>
          <w:lang w:eastAsia="es-MX"/>
        </w:rPr>
        <w:t>El convenio de terminación; y</w:t>
      </w:r>
    </w:p>
    <w:p w:rsidR="00F06322" w:rsidRPr="00C86CE3" w:rsidRDefault="00F06322" w:rsidP="00F06322">
      <w:pPr>
        <w:shd w:val="clear" w:color="auto" w:fill="FFFFFF"/>
        <w:spacing w:before="240" w:after="240"/>
        <w:ind w:left="851" w:right="850"/>
        <w:jc w:val="both"/>
        <w:rPr>
          <w:rFonts w:ascii="Arial" w:hAnsi="Arial" w:cs="Arial"/>
          <w:sz w:val="22"/>
          <w:szCs w:val="22"/>
          <w:lang w:eastAsia="es-MX"/>
        </w:rPr>
      </w:pPr>
      <w:r w:rsidRPr="00C86CE3">
        <w:rPr>
          <w:rFonts w:ascii="Palatino Linotype" w:hAnsi="Palatino Linotype" w:cs="Arial"/>
          <w:b/>
          <w:bCs/>
          <w:i/>
          <w:iCs/>
          <w:sz w:val="22"/>
          <w:szCs w:val="22"/>
          <w:lang w:eastAsia="es-MX"/>
        </w:rPr>
        <w:lastRenderedPageBreak/>
        <w:t>11) </w:t>
      </w:r>
      <w:r w:rsidRPr="00C86CE3">
        <w:rPr>
          <w:rFonts w:ascii="Palatino Linotype" w:hAnsi="Palatino Linotype" w:cs="Arial"/>
          <w:i/>
          <w:iCs/>
          <w:sz w:val="22"/>
          <w:szCs w:val="22"/>
          <w:lang w:eastAsia="es-MX"/>
        </w:rPr>
        <w:t>El finiquito.</w:t>
      </w:r>
      <w:r w:rsidRPr="00C86CE3">
        <w:rPr>
          <w:rFonts w:ascii="Palatino Linotype" w:hAnsi="Palatino Linotype" w:cs="Arial"/>
          <w:b/>
          <w:i/>
          <w:iCs/>
          <w:sz w:val="22"/>
          <w:szCs w:val="22"/>
          <w:lang w:eastAsia="es-MX"/>
        </w:rPr>
        <w:t>”</w:t>
      </w:r>
    </w:p>
    <w:p w:rsidR="00F06322" w:rsidRPr="00C86CE3" w:rsidRDefault="00F06322" w:rsidP="00F06322">
      <w:pPr>
        <w:spacing w:before="240" w:after="240" w:line="360" w:lineRule="auto"/>
        <w:jc w:val="both"/>
        <w:rPr>
          <w:rFonts w:ascii="Palatino Linotype" w:hAnsi="Palatino Linotype" w:cs="Arial"/>
        </w:rPr>
      </w:pPr>
      <w:r w:rsidRPr="00C86CE3">
        <w:rPr>
          <w:rFonts w:ascii="Palatino Linotype" w:hAnsi="Palatino Linotype" w:cs="Arial"/>
        </w:rPr>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C86CE3">
        <w:rPr>
          <w:rFonts w:ascii="Palatino Linotype" w:hAnsi="Palatino Linotype" w:cs="Arial"/>
          <w:b/>
        </w:rPr>
        <w:t>en el que se debe contener dentro de la versión pública del expediente respectivo y de los contratos celebrados, el contrato que debe contener entre otros requisitos, el número, fecha y monto del mismo, así como el plazo de entrega o de ejecución de los servicios u obra</w:t>
      </w:r>
      <w:r w:rsidRPr="00C86CE3">
        <w:rPr>
          <w:rFonts w:ascii="Palatino Linotype" w:hAnsi="Palatino Linotype" w:cs="Arial"/>
        </w:rPr>
        <w:t>.</w:t>
      </w:r>
    </w:p>
    <w:p w:rsidR="00F06322" w:rsidRPr="00C86CE3" w:rsidRDefault="00F06322" w:rsidP="00F06322">
      <w:pPr>
        <w:spacing w:before="240" w:after="240" w:line="360" w:lineRule="auto"/>
        <w:jc w:val="both"/>
        <w:rPr>
          <w:rFonts w:ascii="Palatino Linotype" w:hAnsi="Palatino Linotype" w:cs="Arial"/>
        </w:rPr>
      </w:pPr>
      <w:r w:rsidRPr="00C86CE3">
        <w:rPr>
          <w:rFonts w:ascii="Palatino Linotype" w:hAnsi="Palatino Linotype" w:cs="Arial"/>
        </w:rPr>
        <w:t>A mayor abundamiento, debe observarse lo establecido en los artículos 1</w:t>
      </w:r>
      <w:r w:rsidR="00317553" w:rsidRPr="00C86CE3">
        <w:rPr>
          <w:rFonts w:ascii="Palatino Linotype" w:hAnsi="Palatino Linotype" w:cs="Arial"/>
        </w:rPr>
        <w:t>,</w:t>
      </w:r>
      <w:r w:rsidRPr="00C86CE3">
        <w:rPr>
          <w:rFonts w:ascii="Palatino Linotype" w:hAnsi="Palatino Linotype" w:cs="Arial"/>
        </w:rPr>
        <w:t xml:space="preserve"> fracción III, 20, 21, 22, 23, 24, 26, 27 y 39 de la Ley de Contratación Pública del Estado de México y Municipios, los cuales se transcriben a continuación:</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“Artículo 1</w:t>
      </w:r>
      <w:r w:rsidRPr="00C86CE3">
        <w:rPr>
          <w:rFonts w:ascii="Palatino Linotype" w:hAnsi="Palatino Linotype" w:cs="Arial"/>
          <w:i/>
          <w:iCs/>
          <w:sz w:val="22"/>
          <w:szCs w:val="22"/>
          <w:lang w:eastAsia="es-MX"/>
        </w:rPr>
        <w:t>.- </w:t>
      </w:r>
      <w:r w:rsidRPr="00C86CE3">
        <w:rPr>
          <w:rFonts w:ascii="Palatino Linotype" w:hAnsi="Palatino Linotype" w:cs="Arial"/>
          <w:b/>
          <w:bCs/>
          <w:i/>
          <w:iCs/>
          <w:sz w:val="22"/>
          <w:szCs w:val="22"/>
          <w:lang w:eastAsia="es-MX"/>
        </w:rPr>
        <w:t>Esta Ley tiene por objeto regular los actos relativos a</w:t>
      </w:r>
      <w:r w:rsidRPr="00C86CE3">
        <w:rPr>
          <w:rFonts w:ascii="Palatino Linotype" w:hAnsi="Palatino Linotype" w:cs="Arial"/>
          <w:i/>
          <w:iCs/>
          <w:sz w:val="22"/>
          <w:szCs w:val="22"/>
          <w:lang w:eastAsia="es-MX"/>
        </w:rPr>
        <w:t> la planeación, programación, presupuestación, ejecución y control de </w:t>
      </w:r>
      <w:r w:rsidRPr="00C86CE3">
        <w:rPr>
          <w:rFonts w:ascii="Palatino Linotype" w:hAnsi="Palatino Linotype" w:cs="Arial"/>
          <w:b/>
          <w:bCs/>
          <w:i/>
          <w:iCs/>
          <w:sz w:val="22"/>
          <w:szCs w:val="22"/>
          <w:lang w:eastAsia="es-MX"/>
        </w:rPr>
        <w:t>la adquisición, enajenación y arrendamiento de bienes, y la contratación de servicios de cualquier naturaleza</w:t>
      </w:r>
      <w:r w:rsidRPr="00C86CE3">
        <w:rPr>
          <w:rFonts w:ascii="Palatino Linotype" w:hAnsi="Palatino Linotype" w:cs="Arial"/>
          <w:i/>
          <w:iCs/>
          <w:sz w:val="22"/>
          <w:szCs w:val="22"/>
          <w:lang w:eastAsia="es-MX"/>
        </w:rPr>
        <w:t>, </w:t>
      </w:r>
      <w:r w:rsidRPr="00C86CE3">
        <w:rPr>
          <w:rFonts w:ascii="Palatino Linotype" w:hAnsi="Palatino Linotype" w:cs="Arial"/>
          <w:b/>
          <w:bCs/>
          <w:i/>
          <w:iCs/>
          <w:sz w:val="22"/>
          <w:szCs w:val="22"/>
          <w:lang w:eastAsia="es-MX"/>
        </w:rPr>
        <w:t>que realicen</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III. Los ayuntamientos de los municipios del Estado</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Artículo 20</w:t>
      </w:r>
      <w:r w:rsidRPr="00C86CE3">
        <w:rPr>
          <w:rFonts w:ascii="Palatino Linotype" w:hAnsi="Palatino Linotype" w:cs="Arial"/>
          <w:i/>
          <w:iCs/>
          <w:sz w:val="22"/>
          <w:szCs w:val="22"/>
          <w:lang w:eastAsia="es-MX"/>
        </w:rPr>
        <w:t>.- La Secretaría y </w:t>
      </w:r>
      <w:r w:rsidRPr="00C86CE3">
        <w:rPr>
          <w:rFonts w:ascii="Palatino Linotype" w:hAnsi="Palatino Linotype" w:cs="Arial"/>
          <w:b/>
          <w:bCs/>
          <w:i/>
          <w:iCs/>
          <w:sz w:val="22"/>
          <w:szCs w:val="22"/>
          <w:lang w:eastAsia="es-MX"/>
        </w:rPr>
        <w:t>los ayuntamientos establecerán y operarán el catálogo de bienes y servicios</w:t>
      </w:r>
      <w:r w:rsidRPr="00C86CE3">
        <w:rPr>
          <w:rFonts w:ascii="Palatino Linotype" w:hAnsi="Palatino Linotype" w:cs="Arial"/>
          <w:i/>
          <w:iCs/>
          <w:sz w:val="22"/>
          <w:szCs w:val="22"/>
          <w:lang w:eastAsia="es-MX"/>
        </w:rPr>
        <w:t>, de acuerdo con la reglamentación respectiva. </w:t>
      </w:r>
      <w:r w:rsidRPr="00C86CE3">
        <w:rPr>
          <w:rFonts w:ascii="Palatino Linotype" w:hAnsi="Palatino Linotype" w:cs="Arial"/>
          <w:b/>
          <w:bCs/>
          <w:i/>
          <w:iCs/>
          <w:sz w:val="22"/>
          <w:szCs w:val="22"/>
          <w:lang w:eastAsia="es-MX"/>
        </w:rPr>
        <w:t>Establecerán y operarán también el catálogo de bienes y servicios específicos que sean susceptibles de ser adquiridos o contratados</w:t>
      </w:r>
      <w:r w:rsidRPr="00C86CE3">
        <w:rPr>
          <w:rFonts w:ascii="Palatino Linotype" w:hAnsi="Palatino Linotype" w:cs="Arial"/>
          <w:i/>
          <w:iCs/>
          <w:sz w:val="22"/>
          <w:szCs w:val="22"/>
          <w:lang w:eastAsia="es-MX"/>
        </w:rPr>
        <w:t xml:space="preserve"> bajo la </w:t>
      </w:r>
      <w:r w:rsidRPr="00C86CE3">
        <w:rPr>
          <w:rFonts w:ascii="Palatino Linotype" w:hAnsi="Palatino Linotype" w:cs="Arial"/>
          <w:i/>
          <w:iCs/>
          <w:sz w:val="22"/>
          <w:szCs w:val="22"/>
          <w:lang w:eastAsia="es-MX"/>
        </w:rPr>
        <w:lastRenderedPageBreak/>
        <w:t>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Artículo 21.- A fin de conocer la capacidad administrativa, financiera, legal y técnica de las fuentes de suministro</w:t>
      </w:r>
      <w:r w:rsidRPr="00C86CE3">
        <w:rPr>
          <w:rFonts w:ascii="Palatino Linotype" w:hAnsi="Palatino Linotype" w:cs="Arial"/>
          <w:i/>
          <w:iCs/>
          <w:sz w:val="22"/>
          <w:szCs w:val="22"/>
          <w:lang w:eastAsia="es-MX"/>
        </w:rPr>
        <w:t>, la Secretaría y </w:t>
      </w:r>
      <w:r w:rsidRPr="00C86CE3">
        <w:rPr>
          <w:rFonts w:ascii="Palatino Linotype" w:hAnsi="Palatino Linotype" w:cs="Arial"/>
          <w:b/>
          <w:bCs/>
          <w:i/>
          <w:iCs/>
          <w:sz w:val="22"/>
          <w:szCs w:val="22"/>
          <w:lang w:eastAsia="es-MX"/>
        </w:rPr>
        <w:t>los ayuntamientos integrarán un catálogo de proveedores y de prestadores de servicios</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Artículo 22</w:t>
      </w:r>
      <w:r w:rsidRPr="00C86CE3">
        <w:rPr>
          <w:rFonts w:ascii="Palatino Linotype" w:hAnsi="Palatino Linotype" w:cs="Arial"/>
          <w:i/>
          <w:iCs/>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C86CE3">
        <w:rPr>
          <w:rFonts w:ascii="Palatino Linotype" w:hAnsi="Palatino Linotype" w:cs="Arial"/>
          <w:b/>
          <w:bCs/>
          <w:i/>
          <w:iCs/>
          <w:sz w:val="22"/>
          <w:szCs w:val="22"/>
          <w:lang w:eastAsia="es-MX"/>
        </w:rPr>
        <w:t>los ayuntamientos se auxiliarán de un comité de arrendamientos, adquisiciones de inmuebles y enajenaciones</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Artículo 23</w:t>
      </w:r>
      <w:r w:rsidRPr="00C86CE3">
        <w:rPr>
          <w:rFonts w:ascii="Palatino Linotype" w:hAnsi="Palatino Linotype" w:cs="Arial"/>
          <w:i/>
          <w:iCs/>
          <w:sz w:val="22"/>
          <w:szCs w:val="22"/>
          <w:lang w:eastAsia="es-MX"/>
        </w:rPr>
        <w:t>.- </w:t>
      </w:r>
      <w:r w:rsidRPr="00C86CE3">
        <w:rPr>
          <w:rFonts w:ascii="Palatino Linotype" w:hAnsi="Palatino Linotype" w:cs="Arial"/>
          <w:b/>
          <w:bCs/>
          <w:i/>
          <w:iCs/>
          <w:sz w:val="22"/>
          <w:szCs w:val="22"/>
          <w:lang w:eastAsia="es-MX"/>
        </w:rPr>
        <w:t>Los comités de adquisiciones y de servicios tendrán las funciones siguientes</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I. Dictaminar sobre la procedencia de los casos de excepción al procedimiento de licitación pública.</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incluidos los que tengan que desahogarse bajo la modalidad de subasta inversa.</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III. Emitir los dictámenes de adjudicación</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IV. Las demás que establezca el reglamento de esta Ley.”</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lastRenderedPageBreak/>
        <w:t>Artículo 24</w:t>
      </w:r>
      <w:r w:rsidRPr="00C86CE3">
        <w:rPr>
          <w:rFonts w:ascii="Palatino Linotype" w:hAnsi="Palatino Linotype" w:cs="Arial"/>
          <w:i/>
          <w:iCs/>
          <w:sz w:val="22"/>
          <w:szCs w:val="22"/>
          <w:lang w:eastAsia="es-MX"/>
        </w:rPr>
        <w:t>.- </w:t>
      </w:r>
      <w:r w:rsidRPr="00C86CE3">
        <w:rPr>
          <w:rFonts w:ascii="Palatino Linotype" w:hAnsi="Palatino Linotype" w:cs="Arial"/>
          <w:b/>
          <w:bCs/>
          <w:i/>
          <w:iCs/>
          <w:sz w:val="22"/>
          <w:szCs w:val="22"/>
          <w:lang w:eastAsia="es-MX"/>
        </w:rPr>
        <w:t>El comité de arrendamientos, adquisiciones de inmuebles y enajenaciones tendrá las funciones siguientes</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I. Dictaminar sobre la procedencia de los casos de excepción al procedimiento de licitación pública, tratándose de adquisición de inmuebles y arrendamientos.</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tratándose de adquisición de inmuebles y arrendamientos.</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III. Emitir los dictámenes de adjudicación, tratándose de adquisiciones de inmuebles y arrendamientos</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i/>
          <w:iCs/>
          <w:sz w:val="22"/>
          <w:szCs w:val="22"/>
          <w:lang w:eastAsia="es-MX"/>
        </w:rPr>
        <w:t>IV. Participar en los procedimientos de subasta pública, hasta dejarlos en estado de dictar el fallo de adjudicación.</w:t>
      </w:r>
    </w:p>
    <w:p w:rsidR="00F06322" w:rsidRPr="00C86CE3" w:rsidRDefault="00F06322" w:rsidP="00F06322">
      <w:pPr>
        <w:shd w:val="clear" w:color="auto" w:fill="FFFFFF"/>
        <w:spacing w:before="120" w:after="120" w:line="221" w:lineRule="atLeast"/>
        <w:ind w:left="851" w:right="899"/>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V. Las demás que establezca el reglamento de esta Ley.”</w:t>
      </w:r>
    </w:p>
    <w:p w:rsidR="00F06322" w:rsidRPr="00C86CE3" w:rsidRDefault="00F06322" w:rsidP="00F06322">
      <w:pPr>
        <w:spacing w:before="120" w:after="120" w:line="221" w:lineRule="atLeast"/>
        <w:ind w:left="851" w:right="899"/>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Artículo 26.- </w:t>
      </w:r>
      <w:r w:rsidRPr="00C86CE3">
        <w:rPr>
          <w:rFonts w:ascii="Palatino Linotype" w:hAnsi="Palatino Linotype" w:cs="Arial"/>
          <w:i/>
          <w:iCs/>
          <w:sz w:val="22"/>
          <w:szCs w:val="22"/>
          <w:lang w:eastAsia="es-MX"/>
        </w:rPr>
        <w:t>Las adquisiciones, arrendamientos y servicios se adjudicarán a través de licitaciones públicas, mediante convocatoria pública.</w:t>
      </w:r>
    </w:p>
    <w:p w:rsidR="00F06322" w:rsidRPr="00C86CE3" w:rsidRDefault="00F06322" w:rsidP="00F06322">
      <w:pPr>
        <w:spacing w:before="120" w:after="120" w:line="221" w:lineRule="atLeast"/>
        <w:ind w:left="851" w:right="899"/>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Artículo 27.-</w:t>
      </w:r>
      <w:r w:rsidRPr="00C86CE3">
        <w:rPr>
          <w:rFonts w:ascii="Palatino Linotype" w:hAnsi="Palatino Linotype" w:cs="Arial"/>
          <w:i/>
          <w:iCs/>
          <w:sz w:val="22"/>
          <w:szCs w:val="22"/>
          <w:lang w:eastAsia="es-MX"/>
        </w:rPr>
        <w:t xml:space="preserve"> La Secretaría, las entidades, los tribunales administrativos y los ayuntamientos podrán adjudicar adquisiciones, arrendamientos y servicios, mediante las excepciones al procedimiento de licitación que a continuación se señalan:</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I. Invitación restringida.</w:t>
      </w:r>
    </w:p>
    <w:p w:rsidR="00F06322" w:rsidRPr="00C86CE3" w:rsidRDefault="00F06322" w:rsidP="00F06322">
      <w:pPr>
        <w:shd w:val="clear" w:color="auto" w:fill="FFFFFF"/>
        <w:spacing w:before="120" w:after="120" w:line="221" w:lineRule="atLeast"/>
        <w:ind w:left="851" w:right="899"/>
        <w:jc w:val="both"/>
        <w:rPr>
          <w:rFonts w:ascii="Arial" w:hAnsi="Arial" w:cs="Arial"/>
          <w:sz w:val="19"/>
          <w:szCs w:val="19"/>
          <w:lang w:eastAsia="es-MX"/>
        </w:rPr>
      </w:pPr>
      <w:r w:rsidRPr="00C86CE3">
        <w:rPr>
          <w:rFonts w:ascii="Palatino Linotype" w:hAnsi="Palatino Linotype" w:cs="Arial"/>
          <w:b/>
          <w:bCs/>
          <w:i/>
          <w:iCs/>
          <w:sz w:val="22"/>
          <w:szCs w:val="22"/>
          <w:lang w:eastAsia="es-MX"/>
        </w:rPr>
        <w:t>II. Adjudicación directa</w:t>
      </w:r>
      <w:r w:rsidRPr="00C86CE3">
        <w:rPr>
          <w:rFonts w:ascii="Palatino Linotype" w:hAnsi="Palatino Linotype" w:cs="Arial"/>
          <w:i/>
          <w:iCs/>
          <w:sz w:val="22"/>
          <w:szCs w:val="22"/>
          <w:lang w:eastAsia="es-MX"/>
        </w:rPr>
        <w:t>.</w:t>
      </w:r>
    </w:p>
    <w:p w:rsidR="00F06322" w:rsidRPr="00C86CE3" w:rsidRDefault="00F06322" w:rsidP="00F06322">
      <w:pPr>
        <w:shd w:val="clear" w:color="auto" w:fill="FFFFFF"/>
        <w:spacing w:before="120" w:after="120" w:line="221" w:lineRule="atLeast"/>
        <w:ind w:left="851" w:right="899"/>
        <w:jc w:val="both"/>
        <w:rPr>
          <w:rFonts w:ascii="Arial" w:hAnsi="Arial" w:cs="Arial"/>
          <w:b/>
          <w:sz w:val="19"/>
          <w:szCs w:val="19"/>
          <w:lang w:eastAsia="es-MX"/>
        </w:rPr>
      </w:pPr>
      <w:r w:rsidRPr="00C86CE3">
        <w:rPr>
          <w:rFonts w:ascii="Palatino Linotype" w:hAnsi="Palatino Linotype" w:cs="Arial"/>
          <w:b/>
          <w:bCs/>
          <w:i/>
          <w:iCs/>
          <w:sz w:val="22"/>
          <w:szCs w:val="22"/>
          <w:lang w:eastAsia="es-MX"/>
        </w:rPr>
        <w:t>Artículo 39</w:t>
      </w:r>
      <w:r w:rsidRPr="00C86CE3">
        <w:rPr>
          <w:rFonts w:ascii="Palatino Linotype" w:hAnsi="Palatino Linotype" w:cs="Arial"/>
          <w:i/>
          <w:iCs/>
          <w:sz w:val="22"/>
          <w:szCs w:val="22"/>
          <w:lang w:eastAsia="es-MX"/>
        </w:rPr>
        <w:t>.- </w:t>
      </w:r>
      <w:r w:rsidRPr="00C86CE3">
        <w:rPr>
          <w:rFonts w:ascii="Palatino Linotype" w:hAnsi="Palatino Linotype" w:cs="Arial"/>
          <w:b/>
          <w:bCs/>
          <w:i/>
          <w:iCs/>
          <w:sz w:val="22"/>
          <w:szCs w:val="22"/>
          <w:lang w:eastAsia="es-MX"/>
        </w:rPr>
        <w:t>Para cada uno de los actos del procedimiento adquisitivo se levantará el acta respectiva</w:t>
      </w:r>
      <w:r w:rsidRPr="00C86CE3">
        <w:rPr>
          <w:rFonts w:ascii="Palatino Linotype" w:hAnsi="Palatino Linotype" w:cs="Arial"/>
          <w:i/>
          <w:iCs/>
          <w:sz w:val="22"/>
          <w:szCs w:val="22"/>
          <w:lang w:eastAsia="es-MX"/>
        </w:rPr>
        <w:t>, la cual será firmada por los participantes, sin que la falta de firma de alguno de ellos invalide su contenido y efectos.</w:t>
      </w:r>
      <w:r w:rsidRPr="00C86CE3">
        <w:rPr>
          <w:rFonts w:ascii="Palatino Linotype" w:hAnsi="Palatino Linotype" w:cs="Arial"/>
          <w:b/>
          <w:i/>
          <w:iCs/>
          <w:sz w:val="22"/>
          <w:szCs w:val="22"/>
          <w:lang w:eastAsia="es-MX"/>
        </w:rPr>
        <w:t>”</w:t>
      </w:r>
    </w:p>
    <w:p w:rsidR="00F06322" w:rsidRPr="00C86CE3" w:rsidRDefault="00F06322" w:rsidP="0076145D">
      <w:pPr>
        <w:shd w:val="clear" w:color="auto" w:fill="FFFFFF"/>
        <w:spacing w:before="120" w:after="120" w:line="221" w:lineRule="atLeast"/>
        <w:ind w:left="851" w:right="899"/>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(Énfasis añadido)</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cs="Arial"/>
        </w:rPr>
      </w:pPr>
      <w:r w:rsidRPr="00C86CE3">
        <w:rPr>
          <w:rFonts w:ascii="Palatino Linotype" w:hAnsi="Palatino Linotype" w:cs="Arial"/>
        </w:rPr>
        <w:t>De la interpretación armónica de los preceptos transcritos,</w:t>
      </w:r>
      <w:r w:rsidR="00317553" w:rsidRPr="00C86CE3">
        <w:rPr>
          <w:rFonts w:ascii="Palatino Linotype" w:hAnsi="Palatino Linotype" w:cs="Arial"/>
        </w:rPr>
        <w:t xml:space="preserve"> así como de las manifestaciones del </w:t>
      </w:r>
      <w:r w:rsidR="00317553" w:rsidRPr="00C86CE3">
        <w:rPr>
          <w:rFonts w:ascii="Palatino Linotype" w:hAnsi="Palatino Linotype" w:cs="Arial"/>
          <w:b/>
        </w:rPr>
        <w:t xml:space="preserve">SUJETO OBLIGADO </w:t>
      </w:r>
      <w:r w:rsidR="00317553" w:rsidRPr="00C86CE3">
        <w:rPr>
          <w:rFonts w:ascii="Palatino Linotype" w:hAnsi="Palatino Linotype" w:cs="Arial"/>
        </w:rPr>
        <w:t>en Informe Justificado,</w:t>
      </w:r>
      <w:r w:rsidRPr="00C86CE3">
        <w:rPr>
          <w:rFonts w:ascii="Palatino Linotype" w:hAnsi="Palatino Linotype" w:cs="Arial"/>
        </w:rPr>
        <w:t xml:space="preserve"> se advierte que, </w:t>
      </w:r>
      <w:r w:rsidRPr="00C86CE3">
        <w:rPr>
          <w:rFonts w:ascii="Palatino Linotype" w:hAnsi="Palatino Linotype" w:cs="Arial"/>
        </w:rPr>
        <w:lastRenderedPageBreak/>
        <w:t xml:space="preserve">cuenta con la competencia para regular los actos relativos a la planeación, programación, presupuestación,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w:t>
      </w:r>
      <w:r w:rsidRPr="00C86CE3">
        <w:rPr>
          <w:rFonts w:ascii="Palatino Linotype" w:hAnsi="Palatino Linotype" w:cs="Arial"/>
          <w:b/>
        </w:rPr>
        <w:t>debiendo levantar para cada procedimiento adquisitivo el acta respectiva</w:t>
      </w:r>
      <w:r w:rsidRPr="00C86CE3">
        <w:rPr>
          <w:rFonts w:ascii="Palatino Linotype" w:hAnsi="Palatino Linotype" w:cs="Arial"/>
        </w:rPr>
        <w:t xml:space="preserve">. </w:t>
      </w:r>
    </w:p>
    <w:p w:rsidR="00924873" w:rsidRPr="00C86CE3" w:rsidRDefault="00924873" w:rsidP="00F06322">
      <w:pPr>
        <w:autoSpaceDE w:val="0"/>
        <w:autoSpaceDN w:val="0"/>
        <w:adjustRightInd w:val="0"/>
        <w:spacing w:before="240" w:after="240" w:line="360" w:lineRule="auto"/>
        <w:ind w:right="50"/>
        <w:jc w:val="both"/>
        <w:rPr>
          <w:rFonts w:ascii="Palatino Linotype" w:hAnsi="Palatino Linotype" w:cs="Arial"/>
        </w:rPr>
      </w:pPr>
      <w:r w:rsidRPr="00C86CE3">
        <w:rPr>
          <w:rFonts w:ascii="Palatino Linotype" w:hAnsi="Palatino Linotype" w:cs="Arial"/>
        </w:rPr>
        <w:t>En ese tenor, el Reglamento Interno del Organismo Público Descentralizado para la Prestación de los Servicios de Agua Potable, Drenaje y Tratamiento de Aguas Residuales del Municipio de Huixquilucan, en sus numerales 19, 20,</w:t>
      </w:r>
      <w:r w:rsidR="00287301" w:rsidRPr="00C86CE3">
        <w:rPr>
          <w:rFonts w:ascii="Palatino Linotype" w:hAnsi="Palatino Linotype" w:cs="Arial"/>
        </w:rPr>
        <w:t xml:space="preserve"> 21 y 27</w:t>
      </w:r>
      <w:r w:rsidR="00B27AFA" w:rsidRPr="00C86CE3">
        <w:rPr>
          <w:rFonts w:ascii="Palatino Linotype" w:hAnsi="Palatino Linotype" w:cs="Arial"/>
        </w:rPr>
        <w:t xml:space="preserve"> </w:t>
      </w:r>
      <w:r w:rsidR="00102436" w:rsidRPr="00C86CE3">
        <w:rPr>
          <w:rFonts w:ascii="Palatino Linotype" w:hAnsi="Palatino Linotype" w:cs="Arial"/>
        </w:rPr>
        <w:t>señala lo que a continuación se transcribe:</w:t>
      </w:r>
      <w:r w:rsidRPr="00C86CE3">
        <w:rPr>
          <w:rFonts w:ascii="Palatino Linotype" w:hAnsi="Palatino Linotype" w:cs="Arial"/>
        </w:rPr>
        <w:t xml:space="preserve">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w:t>
      </w:r>
      <w:r w:rsidRPr="00C86CE3">
        <w:rPr>
          <w:rFonts w:ascii="Palatino Linotype" w:hAnsi="Palatino Linotype" w:cs="Arial"/>
          <w:b/>
          <w:i/>
          <w:iCs/>
          <w:sz w:val="22"/>
          <w:szCs w:val="22"/>
          <w:lang w:eastAsia="es-MX"/>
        </w:rPr>
        <w:t>ARTÍCULO 19.-</w:t>
      </w:r>
      <w:r w:rsidRPr="00C86CE3">
        <w:rPr>
          <w:rFonts w:ascii="Palatino Linotype" w:hAnsi="Palatino Linotype" w:cs="Arial"/>
          <w:i/>
          <w:iCs/>
          <w:sz w:val="22"/>
          <w:szCs w:val="22"/>
          <w:lang w:eastAsia="es-MX"/>
        </w:rPr>
        <w:t xml:space="preserve"> </w:t>
      </w:r>
      <w:r w:rsidRPr="00C86CE3">
        <w:rPr>
          <w:rFonts w:ascii="Palatino Linotype" w:hAnsi="Palatino Linotype" w:cs="Arial"/>
          <w:b/>
          <w:i/>
          <w:iCs/>
          <w:sz w:val="22"/>
          <w:szCs w:val="22"/>
          <w:lang w:eastAsia="es-MX"/>
        </w:rPr>
        <w:t>Para el ejercicio de las atribuciones y responsabilidades y para el estudio, planeación y despacho de los asuntos en diversos ramos</w:t>
      </w:r>
      <w:r w:rsidRPr="00C86CE3">
        <w:rPr>
          <w:rFonts w:ascii="Palatino Linotype" w:hAnsi="Palatino Linotype" w:cs="Arial"/>
          <w:i/>
          <w:iCs/>
          <w:sz w:val="22"/>
          <w:szCs w:val="22"/>
          <w:lang w:eastAsia="es-MX"/>
        </w:rPr>
        <w:t xml:space="preserve"> </w:t>
      </w:r>
      <w:r w:rsidRPr="00C86CE3">
        <w:rPr>
          <w:rFonts w:ascii="Palatino Linotype" w:hAnsi="Palatino Linotype" w:cs="Arial"/>
          <w:b/>
          <w:i/>
          <w:iCs/>
          <w:sz w:val="22"/>
          <w:szCs w:val="22"/>
          <w:lang w:eastAsia="es-MX"/>
        </w:rPr>
        <w:t>de la Administración del Organismo</w:t>
      </w:r>
      <w:r w:rsidRPr="00C86CE3">
        <w:rPr>
          <w:rFonts w:ascii="Palatino Linotype" w:hAnsi="Palatino Linotype" w:cs="Arial"/>
          <w:i/>
          <w:iCs/>
          <w:sz w:val="22"/>
          <w:szCs w:val="22"/>
          <w:lang w:eastAsia="es-MX"/>
        </w:rPr>
        <w:t xml:space="preserve">, </w:t>
      </w:r>
      <w:r w:rsidRPr="00C86CE3">
        <w:rPr>
          <w:rFonts w:ascii="Palatino Linotype" w:hAnsi="Palatino Linotype" w:cs="Arial"/>
          <w:b/>
          <w:i/>
          <w:iCs/>
          <w:sz w:val="22"/>
          <w:szCs w:val="22"/>
          <w:lang w:eastAsia="es-MX"/>
        </w:rPr>
        <w:t>el Director General</w:t>
      </w:r>
      <w:r w:rsidRPr="00C86CE3">
        <w:rPr>
          <w:rFonts w:ascii="Palatino Linotype" w:hAnsi="Palatino Linotype" w:cs="Arial"/>
          <w:i/>
          <w:iCs/>
          <w:sz w:val="22"/>
          <w:szCs w:val="22"/>
          <w:lang w:eastAsia="es-MX"/>
        </w:rPr>
        <w:t xml:space="preserve"> </w:t>
      </w:r>
      <w:r w:rsidRPr="00C86CE3">
        <w:rPr>
          <w:rFonts w:ascii="Palatino Linotype" w:hAnsi="Palatino Linotype" w:cs="Arial"/>
          <w:b/>
          <w:i/>
          <w:iCs/>
          <w:sz w:val="22"/>
          <w:szCs w:val="22"/>
          <w:lang w:eastAsia="es-MX"/>
        </w:rPr>
        <w:t>se auxiliará de las siguientes unidades administrativas:</w:t>
      </w:r>
      <w:r w:rsidRPr="00C86CE3">
        <w:rPr>
          <w:rFonts w:ascii="Palatino Linotype" w:hAnsi="Palatino Linotype" w:cs="Arial"/>
          <w:i/>
          <w:iCs/>
          <w:sz w:val="22"/>
          <w:szCs w:val="22"/>
          <w:lang w:eastAsia="es-MX"/>
        </w:rPr>
        <w:t xml:space="preserve">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I. Dirección General; </w:t>
      </w:r>
    </w:p>
    <w:p w:rsidR="00924873" w:rsidRPr="00C86CE3" w:rsidRDefault="00924873" w:rsidP="00924873">
      <w:pPr>
        <w:shd w:val="clear" w:color="auto" w:fill="FFFFFF"/>
        <w:ind w:left="851" w:right="902"/>
        <w:jc w:val="both"/>
        <w:rPr>
          <w:rFonts w:ascii="Palatino Linotype" w:hAnsi="Palatino Linotype" w:cs="Arial"/>
          <w:b/>
          <w:i/>
          <w:iCs/>
          <w:sz w:val="22"/>
          <w:szCs w:val="22"/>
          <w:lang w:eastAsia="es-MX"/>
        </w:rPr>
      </w:pPr>
      <w:r w:rsidRPr="00C86CE3">
        <w:rPr>
          <w:rFonts w:ascii="Palatino Linotype" w:hAnsi="Palatino Linotype" w:cs="Arial"/>
          <w:b/>
          <w:i/>
          <w:iCs/>
          <w:sz w:val="22"/>
          <w:szCs w:val="22"/>
          <w:lang w:eastAsia="es-MX"/>
        </w:rPr>
        <w:t xml:space="preserve">II. Subdirección de Administración y Finanzas;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III. Subdirección de Comercialización;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IV. Subdirección de Operación y Mantenimiento del Agua Potable;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V. Subdirección Saneamiento y Construcción;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VI. Coordinación de Proyectos Especiales y Programas Federales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VII. Unidad Jurídica;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VIII. Departamento de Relaciones Públicas y Cultura del Agua; y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IX. Contraloría interna;</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ARTÍCULO 20.-</w:t>
      </w:r>
      <w:r w:rsidRPr="00C86CE3">
        <w:rPr>
          <w:rFonts w:ascii="Palatino Linotype" w:hAnsi="Palatino Linotype" w:cs="Arial"/>
          <w:i/>
          <w:iCs/>
          <w:sz w:val="22"/>
          <w:szCs w:val="22"/>
          <w:lang w:eastAsia="es-MX"/>
        </w:rPr>
        <w:t xml:space="preserve"> La </w:t>
      </w:r>
      <w:r w:rsidRPr="00C86CE3">
        <w:rPr>
          <w:rFonts w:ascii="Palatino Linotype" w:hAnsi="Palatino Linotype" w:cs="Arial"/>
          <w:b/>
          <w:i/>
          <w:iCs/>
          <w:sz w:val="22"/>
          <w:szCs w:val="22"/>
          <w:lang w:eastAsia="es-MX"/>
        </w:rPr>
        <w:t>Subdirección de Administración y Finanzas;</w:t>
      </w:r>
      <w:r w:rsidRPr="00C86CE3">
        <w:rPr>
          <w:rFonts w:ascii="Palatino Linotype" w:hAnsi="Palatino Linotype" w:cs="Arial"/>
          <w:i/>
          <w:iCs/>
          <w:sz w:val="22"/>
          <w:szCs w:val="22"/>
          <w:lang w:eastAsia="es-MX"/>
        </w:rPr>
        <w:t xml:space="preserve"> tendrá las siguientes atribuciones:</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I.</w:t>
      </w:r>
      <w:r w:rsidRPr="00C86CE3">
        <w:rPr>
          <w:rFonts w:ascii="Palatino Linotype" w:hAnsi="Palatino Linotype" w:cs="Arial"/>
          <w:i/>
          <w:iCs/>
          <w:sz w:val="22"/>
          <w:szCs w:val="22"/>
          <w:lang w:eastAsia="es-MX"/>
        </w:rPr>
        <w:t xml:space="preserve"> Ser </w:t>
      </w:r>
      <w:r w:rsidRPr="00C86CE3">
        <w:rPr>
          <w:rFonts w:ascii="Palatino Linotype" w:hAnsi="Palatino Linotype" w:cs="Arial"/>
          <w:b/>
          <w:i/>
          <w:iCs/>
          <w:sz w:val="22"/>
          <w:szCs w:val="22"/>
          <w:lang w:eastAsia="es-MX"/>
        </w:rPr>
        <w:t>responsable del manejo de los recursos financieros</w:t>
      </w:r>
      <w:r w:rsidRPr="00C86CE3">
        <w:rPr>
          <w:rFonts w:ascii="Palatino Linotype" w:hAnsi="Palatino Linotype" w:cs="Arial"/>
          <w:i/>
          <w:iCs/>
          <w:sz w:val="22"/>
          <w:szCs w:val="22"/>
          <w:lang w:eastAsia="es-MX"/>
        </w:rPr>
        <w:t xml:space="preserve">, en su aplicación, custodia y apegado a lo establecido en leyes y reglamentos.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II. Una correcta administración de los recursos financieros, tomando en consideración el presupuesto establecido y dando prioridad a las obligaciones contractuales. </w:t>
      </w:r>
    </w:p>
    <w:p w:rsidR="00924873" w:rsidRPr="00C86CE3" w:rsidRDefault="00924873" w:rsidP="00924873">
      <w:pPr>
        <w:shd w:val="clear" w:color="auto" w:fill="FFFFFF"/>
        <w:ind w:left="851" w:right="902"/>
        <w:jc w:val="both"/>
        <w:rPr>
          <w:rFonts w:ascii="Palatino Linotype" w:hAnsi="Palatino Linotype" w:cs="Arial"/>
          <w:b/>
          <w:i/>
          <w:iCs/>
          <w:sz w:val="22"/>
          <w:szCs w:val="22"/>
          <w:lang w:eastAsia="es-MX"/>
        </w:rPr>
      </w:pPr>
      <w:r w:rsidRPr="00C86CE3">
        <w:rPr>
          <w:rFonts w:ascii="Palatino Linotype" w:hAnsi="Palatino Linotype" w:cs="Arial"/>
          <w:b/>
          <w:i/>
          <w:iCs/>
          <w:sz w:val="22"/>
          <w:szCs w:val="22"/>
          <w:lang w:eastAsia="es-MX"/>
        </w:rPr>
        <w:t>III.</w:t>
      </w:r>
      <w:r w:rsidRPr="00C86CE3">
        <w:rPr>
          <w:rFonts w:ascii="Palatino Linotype" w:hAnsi="Palatino Linotype" w:cs="Arial"/>
          <w:i/>
          <w:iCs/>
          <w:sz w:val="22"/>
          <w:szCs w:val="22"/>
          <w:lang w:eastAsia="es-MX"/>
        </w:rPr>
        <w:t xml:space="preserve"> </w:t>
      </w:r>
      <w:r w:rsidRPr="00C86CE3">
        <w:rPr>
          <w:rFonts w:ascii="Palatino Linotype" w:hAnsi="Palatino Linotype" w:cs="Arial"/>
          <w:b/>
          <w:i/>
          <w:iCs/>
          <w:sz w:val="22"/>
          <w:szCs w:val="22"/>
          <w:lang w:eastAsia="es-MX"/>
        </w:rPr>
        <w:t xml:space="preserve">Integrar, administrar, vigilar y controlar los presupuestos de ingresos y egresos de conformidad con las disposiciones legales aplicables;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IV. Certificar documentos que emanen de la Subdirección;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V. Cuidar las opciones de endeudamiento, con la finalidad de tener finanzas sanas. </w:t>
      </w:r>
      <w:r w:rsidRPr="00C86CE3">
        <w:rPr>
          <w:rFonts w:ascii="Palatino Linotype" w:hAnsi="Palatino Linotype" w:cs="Arial"/>
          <w:b/>
          <w:i/>
          <w:iCs/>
          <w:sz w:val="22"/>
          <w:szCs w:val="22"/>
          <w:lang w:eastAsia="es-MX"/>
        </w:rPr>
        <w:t>VI. Hacer un análisis y evaluación para la contratación de bienes y servicios</w:t>
      </w:r>
      <w:r w:rsidRPr="00C86CE3">
        <w:rPr>
          <w:rFonts w:ascii="Palatino Linotype" w:hAnsi="Palatino Linotype" w:cs="Arial"/>
          <w:i/>
          <w:iCs/>
          <w:sz w:val="22"/>
          <w:szCs w:val="22"/>
          <w:lang w:eastAsia="es-MX"/>
        </w:rPr>
        <w:t xml:space="preserve">.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VII. Planear la provisión de bienes y servicios de las áreas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VIII. Responsabilizarse de proveer el área de recursos humanos, con personal capacitado y que cumpla con los perfiles requeridos.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IX. Programación y pago de las obligaciones del Organismo; </w:t>
      </w:r>
    </w:p>
    <w:p w:rsidR="00924873" w:rsidRPr="00C86CE3" w:rsidRDefault="00924873" w:rsidP="00924873">
      <w:pPr>
        <w:shd w:val="clear" w:color="auto" w:fill="FFFFFF"/>
        <w:ind w:left="851" w:right="902"/>
        <w:jc w:val="both"/>
        <w:rPr>
          <w:rFonts w:ascii="Palatino Linotype" w:hAnsi="Palatino Linotype" w:cs="Arial"/>
          <w:b/>
          <w:i/>
          <w:iCs/>
          <w:sz w:val="22"/>
          <w:szCs w:val="22"/>
          <w:lang w:eastAsia="es-MX"/>
        </w:rPr>
      </w:pPr>
      <w:r w:rsidRPr="00C86CE3">
        <w:rPr>
          <w:rFonts w:ascii="Palatino Linotype" w:hAnsi="Palatino Linotype" w:cs="Arial"/>
          <w:b/>
          <w:i/>
          <w:iCs/>
          <w:sz w:val="22"/>
          <w:szCs w:val="22"/>
          <w:lang w:eastAsia="es-MX"/>
        </w:rPr>
        <w:t xml:space="preserve">X. Vigilar procedimientos para las adquisiciones de bienes y servicios;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XI. Establecer, controlar y evaluar el programa de protección civil del organismo; XII. Administrar, salvaguardar y controlar las cuentas bancarias;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XIII. Supervisar que las áreas a su cargo, le entreguen en tiempo y forma la documentación requerida, para que a su vez se cumpla con los plazos establecidos por las autoridades.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XIV. Invertir los excedentes de efectivo en valores que proporcionen seguridad;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XV. Custodiar los documentos mercantiles y títulos de crédito;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XVI. Supervisar la contabilidad financiera y presupuestal;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XVII. Entregar en tiempo y forma el presupuesto anual el informe mensual y la cuenta pública.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XVIII. Gestionar la publicación anual en la Gaceta de Gobierno y en la Gaceta Municipal, el presupuesto anual;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XIX. Analizar y proponer opciones, para la contratación de créditos;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lastRenderedPageBreak/>
        <w:t xml:space="preserve">XX. Proponer y emitir las políticas, normas y procedimientos que en materia de recursos humanos, materiales, financieros y servicios generales se requieran para la operación del Organismo, con la aprobación del Director General;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XXI. Atender en el ámbito de su competencia, los asuntos que le encomiende el Director General; y </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XXII. Las que le confieran otros ordenamientos legales, y las que le encomiende su superior jerárquico.</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p>
    <w:p w:rsidR="00B27AFA" w:rsidRPr="00C86CE3" w:rsidRDefault="00B27AFA"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ARTÍCULO 21.-</w:t>
      </w:r>
      <w:r w:rsidRPr="00C86CE3">
        <w:rPr>
          <w:rFonts w:ascii="Palatino Linotype" w:hAnsi="Palatino Linotype" w:cs="Arial"/>
          <w:i/>
          <w:iCs/>
          <w:sz w:val="22"/>
          <w:szCs w:val="22"/>
          <w:lang w:eastAsia="es-MX"/>
        </w:rPr>
        <w:t xml:space="preserve"> Para el desempeño de sus atribuciones, </w:t>
      </w:r>
      <w:r w:rsidRPr="00C86CE3">
        <w:rPr>
          <w:rFonts w:ascii="Palatino Linotype" w:hAnsi="Palatino Linotype" w:cs="Arial"/>
          <w:b/>
          <w:i/>
          <w:iCs/>
          <w:sz w:val="22"/>
          <w:szCs w:val="22"/>
          <w:lang w:eastAsia="es-MX"/>
        </w:rPr>
        <w:t>la Subdirección de Administración y Finanzas, contará con las siguientes unidades administrativas</w:t>
      </w:r>
      <w:r w:rsidRPr="00C86CE3">
        <w:rPr>
          <w:rFonts w:ascii="Palatino Linotype" w:hAnsi="Palatino Linotype" w:cs="Arial"/>
          <w:i/>
          <w:iCs/>
          <w:sz w:val="22"/>
          <w:szCs w:val="22"/>
          <w:lang w:eastAsia="es-MX"/>
        </w:rPr>
        <w:t xml:space="preserve">: </w:t>
      </w:r>
    </w:p>
    <w:p w:rsidR="00B27AFA" w:rsidRPr="00C86CE3" w:rsidRDefault="00B27AFA"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1. </w:t>
      </w:r>
      <w:r w:rsidRPr="00C86CE3">
        <w:rPr>
          <w:rFonts w:ascii="Palatino Linotype" w:hAnsi="Palatino Linotype" w:cs="Arial"/>
          <w:b/>
          <w:i/>
          <w:iCs/>
          <w:sz w:val="22"/>
          <w:szCs w:val="22"/>
          <w:lang w:eastAsia="es-MX"/>
        </w:rPr>
        <w:t>Coordinación de Finanzas:</w:t>
      </w:r>
      <w:r w:rsidRPr="00C86CE3">
        <w:rPr>
          <w:rFonts w:ascii="Palatino Linotype" w:hAnsi="Palatino Linotype" w:cs="Arial"/>
          <w:i/>
          <w:iCs/>
          <w:sz w:val="22"/>
          <w:szCs w:val="22"/>
          <w:lang w:eastAsia="es-MX"/>
        </w:rPr>
        <w:t xml:space="preserve"> </w:t>
      </w:r>
    </w:p>
    <w:p w:rsidR="00924873" w:rsidRPr="00C86CE3" w:rsidRDefault="00B27AFA" w:rsidP="00B27AFA">
      <w:pPr>
        <w:shd w:val="clear" w:color="auto" w:fill="FFFFFF"/>
        <w:ind w:left="1276"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1.1. Departamento de Ingresos y Egresos;</w:t>
      </w:r>
    </w:p>
    <w:p w:rsidR="00B27AFA" w:rsidRPr="00C86CE3" w:rsidRDefault="00B27AFA" w:rsidP="00B27AFA">
      <w:pPr>
        <w:shd w:val="clear" w:color="auto" w:fill="FFFFFF"/>
        <w:ind w:left="1276"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1.2. Departamento de Contabilidad y Control Patrimonial;</w:t>
      </w: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p>
    <w:p w:rsidR="00B27AFA" w:rsidRPr="00C86CE3" w:rsidRDefault="00B27AFA"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2. Coordinación de Administración:</w:t>
      </w:r>
      <w:r w:rsidRPr="00C86CE3">
        <w:rPr>
          <w:rFonts w:ascii="Palatino Linotype" w:hAnsi="Palatino Linotype" w:cs="Arial"/>
          <w:i/>
          <w:iCs/>
          <w:sz w:val="22"/>
          <w:szCs w:val="22"/>
          <w:lang w:eastAsia="es-MX"/>
        </w:rPr>
        <w:t xml:space="preserve"> Que a su vez cuenta con: </w:t>
      </w:r>
    </w:p>
    <w:p w:rsidR="00B27AFA" w:rsidRPr="00C86CE3" w:rsidRDefault="00B27AFA" w:rsidP="00B27AFA">
      <w:pPr>
        <w:shd w:val="clear" w:color="auto" w:fill="FFFFFF"/>
        <w:ind w:left="1276" w:right="902"/>
        <w:jc w:val="both"/>
        <w:rPr>
          <w:rFonts w:ascii="Palatino Linotype" w:hAnsi="Palatino Linotype" w:cs="Arial"/>
          <w:b/>
          <w:i/>
          <w:iCs/>
          <w:sz w:val="22"/>
          <w:szCs w:val="22"/>
          <w:lang w:eastAsia="es-MX"/>
        </w:rPr>
      </w:pPr>
      <w:r w:rsidRPr="00C86CE3">
        <w:rPr>
          <w:rFonts w:ascii="Palatino Linotype" w:hAnsi="Palatino Linotype" w:cs="Arial"/>
          <w:b/>
          <w:i/>
          <w:iCs/>
          <w:sz w:val="22"/>
          <w:szCs w:val="22"/>
          <w:lang w:eastAsia="es-MX"/>
        </w:rPr>
        <w:t xml:space="preserve">2.1. Departamento de Adquisiciones y Contratación de Servicios; </w:t>
      </w:r>
    </w:p>
    <w:p w:rsidR="00B27AFA" w:rsidRPr="00C86CE3" w:rsidRDefault="00B27AFA" w:rsidP="00B27AFA">
      <w:pPr>
        <w:shd w:val="clear" w:color="auto" w:fill="FFFFFF"/>
        <w:ind w:left="1276"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2.2. Departamento de Recursos Humanos, Capacitación y Calidad; </w:t>
      </w:r>
    </w:p>
    <w:p w:rsidR="00B27AFA" w:rsidRPr="00C86CE3" w:rsidRDefault="00B27AFA" w:rsidP="00B27AFA">
      <w:pPr>
        <w:shd w:val="clear" w:color="auto" w:fill="FFFFFF"/>
        <w:ind w:left="1276"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 xml:space="preserve">2.3. Departamento de Servicios Generales y Control Patrimonial; </w:t>
      </w:r>
    </w:p>
    <w:p w:rsidR="00B27AFA" w:rsidRPr="00C86CE3" w:rsidRDefault="00B27AFA" w:rsidP="00B27AFA">
      <w:pPr>
        <w:shd w:val="clear" w:color="auto" w:fill="FFFFFF"/>
        <w:ind w:left="1276"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2.4. Departamento de Informática y Soporte Técnico.</w:t>
      </w:r>
    </w:p>
    <w:p w:rsidR="00B27AFA" w:rsidRPr="00C86CE3" w:rsidRDefault="00B27AFA" w:rsidP="00924873">
      <w:pPr>
        <w:shd w:val="clear" w:color="auto" w:fill="FFFFFF"/>
        <w:ind w:left="851" w:right="902"/>
        <w:jc w:val="both"/>
        <w:rPr>
          <w:rFonts w:ascii="Palatino Linotype" w:hAnsi="Palatino Linotype" w:cs="Arial"/>
          <w:i/>
          <w:iCs/>
          <w:sz w:val="22"/>
          <w:szCs w:val="22"/>
          <w:lang w:eastAsia="es-MX"/>
        </w:rPr>
      </w:pPr>
    </w:p>
    <w:p w:rsidR="00924873" w:rsidRPr="00C86CE3" w:rsidRDefault="00B27AFA"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ARTÍCULO 27.-</w:t>
      </w:r>
      <w:r w:rsidRPr="00C86CE3">
        <w:rPr>
          <w:rFonts w:ascii="Palatino Linotype" w:hAnsi="Palatino Linotype" w:cs="Arial"/>
          <w:i/>
          <w:iCs/>
          <w:sz w:val="22"/>
          <w:szCs w:val="22"/>
          <w:lang w:eastAsia="es-MX"/>
        </w:rPr>
        <w:t xml:space="preserve"> El Departamento de Adquisiciones y Contratación de Servicios tendrá las siguientes atribuciones:</w:t>
      </w:r>
    </w:p>
    <w:p w:rsidR="00B27AFA" w:rsidRPr="00C86CE3" w:rsidRDefault="00B27AFA"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b/>
          <w:i/>
          <w:iCs/>
          <w:sz w:val="22"/>
          <w:szCs w:val="22"/>
          <w:lang w:eastAsia="es-MX"/>
        </w:rPr>
        <w:t>I.</w:t>
      </w:r>
      <w:r w:rsidRPr="00C86CE3">
        <w:rPr>
          <w:rFonts w:ascii="Palatino Linotype" w:hAnsi="Palatino Linotype" w:cs="Arial"/>
          <w:i/>
          <w:iCs/>
          <w:sz w:val="22"/>
          <w:szCs w:val="22"/>
          <w:lang w:eastAsia="es-MX"/>
        </w:rPr>
        <w:t xml:space="preserve"> </w:t>
      </w:r>
      <w:r w:rsidRPr="00C86CE3">
        <w:rPr>
          <w:rFonts w:ascii="Palatino Linotype" w:hAnsi="Palatino Linotype" w:cs="Arial"/>
          <w:b/>
          <w:i/>
          <w:iCs/>
          <w:sz w:val="22"/>
          <w:szCs w:val="22"/>
          <w:lang w:eastAsia="es-MX"/>
        </w:rPr>
        <w:t>Elaborar el programa anual de adquisiciones de bienes y servicios</w:t>
      </w:r>
      <w:r w:rsidRPr="00C86CE3">
        <w:rPr>
          <w:rFonts w:ascii="Palatino Linotype" w:hAnsi="Palatino Linotype" w:cs="Arial"/>
          <w:i/>
          <w:iCs/>
          <w:sz w:val="22"/>
          <w:szCs w:val="22"/>
          <w:lang w:eastAsia="es-MX"/>
        </w:rPr>
        <w:t xml:space="preserve"> para su presentación ante el Comité de Adquisiciones; </w:t>
      </w:r>
    </w:p>
    <w:p w:rsidR="00B27AFA" w:rsidRPr="00C86CE3" w:rsidRDefault="00B27AFA" w:rsidP="00924873">
      <w:pPr>
        <w:shd w:val="clear" w:color="auto" w:fill="FFFFFF"/>
        <w:ind w:left="851" w:right="902"/>
        <w:jc w:val="both"/>
        <w:rPr>
          <w:rFonts w:ascii="Palatino Linotype" w:hAnsi="Palatino Linotype" w:cs="Arial"/>
          <w:b/>
          <w:i/>
          <w:iCs/>
          <w:sz w:val="22"/>
          <w:szCs w:val="22"/>
          <w:lang w:eastAsia="es-MX"/>
        </w:rPr>
      </w:pPr>
      <w:r w:rsidRPr="00C86CE3">
        <w:rPr>
          <w:rFonts w:ascii="Palatino Linotype" w:hAnsi="Palatino Linotype" w:cs="Arial"/>
          <w:b/>
          <w:i/>
          <w:iCs/>
          <w:sz w:val="22"/>
          <w:szCs w:val="22"/>
          <w:lang w:eastAsia="es-MX"/>
        </w:rPr>
        <w:t xml:space="preserve">II. Ejecutar los procedimientos de licitación pública, invitación restringida y adjudicación directa, para la adquisición de bienes y servicios; </w:t>
      </w:r>
    </w:p>
    <w:p w:rsidR="00B27AFA" w:rsidRPr="00C86CE3" w:rsidRDefault="00B27AFA" w:rsidP="00924873">
      <w:pPr>
        <w:shd w:val="clear" w:color="auto" w:fill="FFFFFF"/>
        <w:ind w:left="851" w:right="902"/>
        <w:jc w:val="both"/>
        <w:rPr>
          <w:rFonts w:ascii="Palatino Linotype" w:hAnsi="Palatino Linotype" w:cs="Arial"/>
          <w:b/>
          <w:i/>
          <w:iCs/>
          <w:sz w:val="22"/>
          <w:szCs w:val="22"/>
          <w:lang w:eastAsia="es-MX"/>
        </w:rPr>
      </w:pPr>
      <w:r w:rsidRPr="00C86CE3">
        <w:rPr>
          <w:rFonts w:ascii="Palatino Linotype" w:hAnsi="Palatino Linotype" w:cs="Arial"/>
          <w:i/>
          <w:iCs/>
          <w:sz w:val="22"/>
          <w:szCs w:val="22"/>
          <w:lang w:eastAsia="es-MX"/>
        </w:rPr>
        <w:t xml:space="preserve">III. Resguardar y administrar el archivo muerto de todas las áreas del Organismo. </w:t>
      </w:r>
      <w:r w:rsidRPr="00C86CE3">
        <w:rPr>
          <w:rFonts w:ascii="Palatino Linotype" w:hAnsi="Palatino Linotype" w:cs="Arial"/>
          <w:b/>
          <w:i/>
          <w:iCs/>
          <w:sz w:val="22"/>
          <w:szCs w:val="22"/>
          <w:lang w:eastAsia="es-MX"/>
        </w:rPr>
        <w:t xml:space="preserve">IV. Realizar y actualizar los estudios de mercado para la integración de presupuestos base, para la adquisición de bienes y servicios; </w:t>
      </w:r>
    </w:p>
    <w:p w:rsidR="00B27AFA" w:rsidRPr="00C86CE3" w:rsidRDefault="00B27AFA" w:rsidP="00924873">
      <w:pPr>
        <w:shd w:val="clear" w:color="auto" w:fill="FFFFFF"/>
        <w:ind w:left="851" w:right="902"/>
        <w:jc w:val="both"/>
        <w:rPr>
          <w:rFonts w:ascii="Palatino Linotype" w:hAnsi="Palatino Linotype" w:cs="Arial"/>
          <w:b/>
          <w:i/>
          <w:iCs/>
          <w:sz w:val="22"/>
          <w:szCs w:val="22"/>
          <w:lang w:eastAsia="es-MX"/>
        </w:rPr>
      </w:pPr>
      <w:r w:rsidRPr="00C86CE3">
        <w:rPr>
          <w:rFonts w:ascii="Palatino Linotype" w:hAnsi="Palatino Linotype" w:cs="Arial"/>
          <w:b/>
          <w:i/>
          <w:iCs/>
          <w:sz w:val="22"/>
          <w:szCs w:val="22"/>
          <w:lang w:eastAsia="es-MX"/>
        </w:rPr>
        <w:t xml:space="preserve">V. Elaborar y actualizar el catálogo de proveedores de bienes y servicios del Organismo; </w:t>
      </w:r>
    </w:p>
    <w:p w:rsidR="00B27AFA" w:rsidRPr="00C86CE3" w:rsidRDefault="00B27AFA" w:rsidP="00924873">
      <w:pPr>
        <w:shd w:val="clear" w:color="auto" w:fill="FFFFFF"/>
        <w:ind w:left="851" w:right="902"/>
        <w:jc w:val="both"/>
        <w:rPr>
          <w:rFonts w:ascii="Palatino Linotype" w:hAnsi="Palatino Linotype" w:cs="Arial"/>
          <w:b/>
          <w:i/>
          <w:iCs/>
          <w:sz w:val="22"/>
          <w:szCs w:val="22"/>
          <w:lang w:eastAsia="es-MX"/>
        </w:rPr>
      </w:pPr>
      <w:r w:rsidRPr="00C86CE3">
        <w:rPr>
          <w:rFonts w:ascii="Palatino Linotype" w:hAnsi="Palatino Linotype" w:cs="Arial"/>
          <w:b/>
          <w:i/>
          <w:iCs/>
          <w:sz w:val="22"/>
          <w:szCs w:val="22"/>
          <w:lang w:eastAsia="es-MX"/>
        </w:rPr>
        <w:t xml:space="preserve">VI. Administrar, vigilar y controlar los almacenes del Organismo; </w:t>
      </w:r>
    </w:p>
    <w:p w:rsidR="00B27AFA" w:rsidRPr="00C86CE3" w:rsidRDefault="00B27AFA"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lastRenderedPageBreak/>
        <w:t xml:space="preserve">VII. Revisar que no se encuentren dentro del sistema de empresas objetadas las personas físicas o morales que presten bienes o servicios al Organismo; y </w:t>
      </w:r>
    </w:p>
    <w:p w:rsidR="00924873" w:rsidRPr="00C86CE3" w:rsidRDefault="00B27AFA" w:rsidP="00B27AFA">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VIII. Las que le confieran otros ordenamientos legales, y las que le encomiende su superior jerárquico.</w:t>
      </w:r>
      <w:r w:rsidR="00924873" w:rsidRPr="00C86CE3">
        <w:rPr>
          <w:rFonts w:ascii="Palatino Linotype" w:hAnsi="Palatino Linotype" w:cs="Arial"/>
          <w:i/>
          <w:iCs/>
          <w:sz w:val="22"/>
          <w:szCs w:val="22"/>
          <w:lang w:eastAsia="es-MX"/>
        </w:rPr>
        <w:t xml:space="preserve">” </w:t>
      </w:r>
    </w:p>
    <w:p w:rsidR="0084694A" w:rsidRPr="00C86CE3" w:rsidRDefault="0084694A" w:rsidP="00B27AFA">
      <w:pPr>
        <w:shd w:val="clear" w:color="auto" w:fill="FFFFFF"/>
        <w:ind w:left="851" w:right="902"/>
        <w:jc w:val="both"/>
        <w:rPr>
          <w:rFonts w:ascii="Palatino Linotype" w:hAnsi="Palatino Linotype" w:cs="Arial"/>
          <w:i/>
          <w:iCs/>
          <w:sz w:val="22"/>
          <w:szCs w:val="22"/>
          <w:lang w:eastAsia="es-MX"/>
        </w:rPr>
      </w:pPr>
    </w:p>
    <w:p w:rsidR="00924873" w:rsidRPr="00C86CE3" w:rsidRDefault="00924873" w:rsidP="00924873">
      <w:pPr>
        <w:shd w:val="clear" w:color="auto" w:fill="FFFFFF"/>
        <w:ind w:left="851" w:right="902"/>
        <w:jc w:val="both"/>
        <w:rPr>
          <w:rFonts w:ascii="Palatino Linotype" w:hAnsi="Palatino Linotype" w:cs="Arial"/>
          <w:i/>
          <w:iCs/>
          <w:sz w:val="22"/>
          <w:szCs w:val="22"/>
          <w:lang w:eastAsia="es-MX"/>
        </w:rPr>
      </w:pPr>
      <w:r w:rsidRPr="00C86CE3">
        <w:rPr>
          <w:rFonts w:ascii="Palatino Linotype" w:hAnsi="Palatino Linotype" w:cs="Arial"/>
          <w:i/>
          <w:iCs/>
          <w:sz w:val="22"/>
          <w:szCs w:val="22"/>
          <w:lang w:eastAsia="es-MX"/>
        </w:rPr>
        <w:t>(Énfasis añadido)</w:t>
      </w:r>
    </w:p>
    <w:p w:rsidR="002C45E3" w:rsidRPr="00C86CE3" w:rsidRDefault="00102436" w:rsidP="002C45E3">
      <w:pPr>
        <w:autoSpaceDE w:val="0"/>
        <w:autoSpaceDN w:val="0"/>
        <w:adjustRightInd w:val="0"/>
        <w:spacing w:before="240" w:after="240" w:line="360" w:lineRule="auto"/>
        <w:ind w:right="50"/>
        <w:jc w:val="both"/>
        <w:rPr>
          <w:rFonts w:ascii="Palatino Linotype" w:hAnsi="Palatino Linotype" w:cs="Arial"/>
        </w:rPr>
      </w:pPr>
      <w:r w:rsidRPr="00C86CE3">
        <w:rPr>
          <w:rFonts w:ascii="Palatino Linotype" w:hAnsi="Palatino Linotype" w:cs="Arial"/>
        </w:rPr>
        <w:t xml:space="preserve">De lo anterior, se puede advertir que </w:t>
      </w:r>
      <w:r w:rsidRPr="00C86CE3">
        <w:rPr>
          <w:rFonts w:ascii="Palatino Linotype" w:hAnsi="Palatino Linotype" w:cs="Arial"/>
          <w:b/>
        </w:rPr>
        <w:t xml:space="preserve">EL SUJETO OBLIGADO </w:t>
      </w:r>
      <w:r w:rsidRPr="00C86CE3">
        <w:rPr>
          <w:rFonts w:ascii="Palatino Linotype" w:hAnsi="Palatino Linotype" w:cs="Arial"/>
        </w:rPr>
        <w:t xml:space="preserve">se encuentra constreñido a contar con las </w:t>
      </w:r>
      <w:r w:rsidR="002C45E3" w:rsidRPr="00C86CE3">
        <w:rPr>
          <w:rFonts w:ascii="Palatino Linotype" w:hAnsi="Palatino Linotype" w:cs="Arial"/>
        </w:rPr>
        <w:t xml:space="preserve">actas relativas al procedimiento adquisitivo de los </w:t>
      </w:r>
      <w:r w:rsidR="002C45E3" w:rsidRPr="00C86CE3">
        <w:rPr>
          <w:rFonts w:ascii="Palatino Linotype" w:eastAsia="Arial Unicode MS" w:hAnsi="Palatino Linotype" w:cs="Arial"/>
        </w:rPr>
        <w:t>brocales con tapa y boca de tormenta durante el periodo correspondiente al 1 de enero de 2</w:t>
      </w:r>
      <w:r w:rsidR="0084694A" w:rsidRPr="00C86CE3">
        <w:rPr>
          <w:rFonts w:ascii="Palatino Linotype" w:eastAsia="Arial Unicode MS" w:hAnsi="Palatino Linotype" w:cs="Arial"/>
        </w:rPr>
        <w:t xml:space="preserve">016 al 6 de noviembre de 2018, </w:t>
      </w:r>
      <w:r w:rsidR="002C45E3" w:rsidRPr="00C86CE3">
        <w:rPr>
          <w:rFonts w:ascii="Palatino Linotype" w:eastAsia="Arial Unicode MS" w:hAnsi="Palatino Linotype" w:cs="Arial"/>
        </w:rPr>
        <w:t xml:space="preserve">las cuales </w:t>
      </w:r>
      <w:r w:rsidR="0084694A" w:rsidRPr="00C86CE3">
        <w:rPr>
          <w:rFonts w:ascii="Palatino Linotype" w:eastAsia="Arial Unicode MS" w:hAnsi="Palatino Linotype" w:cs="Arial"/>
        </w:rPr>
        <w:t xml:space="preserve">constituyen un documento que de manera enunciativa más no limitativa pudiera contener </w:t>
      </w:r>
      <w:r w:rsidR="002C45E3" w:rsidRPr="00C86CE3">
        <w:rPr>
          <w:rFonts w:ascii="Palatino Linotype" w:eastAsia="Arial Unicode MS" w:hAnsi="Palatino Linotype" w:cs="Arial"/>
        </w:rPr>
        <w:t xml:space="preserve">el precio unitario con el </w:t>
      </w:r>
      <w:r w:rsidR="00317553" w:rsidRPr="00C86CE3">
        <w:rPr>
          <w:rFonts w:ascii="Palatino Linotype" w:eastAsia="Arial Unicode MS" w:hAnsi="Palatino Linotype" w:cs="Arial"/>
        </w:rPr>
        <w:t xml:space="preserve">Impuesto </w:t>
      </w:r>
      <w:r w:rsidR="002C45E3" w:rsidRPr="00C86CE3">
        <w:rPr>
          <w:rFonts w:ascii="Palatino Linotype" w:eastAsia="Arial Unicode MS" w:hAnsi="Palatino Linotype" w:cs="Arial"/>
        </w:rPr>
        <w:t xml:space="preserve">al </w:t>
      </w:r>
      <w:r w:rsidR="00317553" w:rsidRPr="00C86CE3">
        <w:rPr>
          <w:rFonts w:ascii="Palatino Linotype" w:eastAsia="Arial Unicode MS" w:hAnsi="Palatino Linotype" w:cs="Arial"/>
        </w:rPr>
        <w:t>Valor Agregado</w:t>
      </w:r>
      <w:r w:rsidR="0084694A" w:rsidRPr="00C86CE3">
        <w:rPr>
          <w:rFonts w:ascii="Palatino Linotype" w:eastAsia="Arial Unicode MS" w:hAnsi="Palatino Linotype" w:cs="Arial"/>
        </w:rPr>
        <w:t xml:space="preserve"> y </w:t>
      </w:r>
      <w:r w:rsidR="002C45E3" w:rsidRPr="00C86CE3">
        <w:rPr>
          <w:rFonts w:ascii="Palatino Linotype" w:eastAsia="Arial Unicode MS" w:hAnsi="Palatino Linotype" w:cs="Arial"/>
        </w:rPr>
        <w:t>nombre del proveedor</w:t>
      </w:r>
      <w:r w:rsidR="00775889" w:rsidRPr="00C86CE3">
        <w:rPr>
          <w:rFonts w:ascii="Palatino Linotype" w:eastAsia="Arial Unicode MS" w:hAnsi="Palatino Linotype" w:cs="Arial"/>
        </w:rPr>
        <w:t>, mismas que deberá entregar de ser procedente en versión pública.</w:t>
      </w:r>
    </w:p>
    <w:p w:rsidR="00C919F1" w:rsidRPr="00C86CE3" w:rsidRDefault="00C919F1" w:rsidP="00C919F1">
      <w:pPr>
        <w:autoSpaceDE w:val="0"/>
        <w:autoSpaceDN w:val="0"/>
        <w:adjustRightInd w:val="0"/>
        <w:spacing w:before="240" w:after="240" w:line="360" w:lineRule="auto"/>
        <w:ind w:right="-232"/>
        <w:jc w:val="both"/>
        <w:rPr>
          <w:rFonts w:ascii="Palatino Linotype" w:hAnsi="Palatino Linotype"/>
        </w:rPr>
      </w:pPr>
      <w:r w:rsidRPr="00C86CE3">
        <w:rPr>
          <w:rFonts w:ascii="Palatino Linotype" w:hAnsi="Palatino Linotype" w:cs="Arial"/>
        </w:rPr>
        <w:t xml:space="preserve">En ese tenor, no pasa </w:t>
      </w:r>
      <w:r w:rsidR="0084694A" w:rsidRPr="00C86CE3">
        <w:rPr>
          <w:rFonts w:ascii="Palatino Linotype" w:hAnsi="Palatino Linotype" w:cs="Arial"/>
        </w:rPr>
        <w:t>desapercibido</w:t>
      </w:r>
      <w:r w:rsidRPr="00C86CE3">
        <w:rPr>
          <w:rFonts w:ascii="Palatino Linotype" w:hAnsi="Palatino Linotype" w:cs="Arial"/>
        </w:rPr>
        <w:t xml:space="preserve"> para esta Ponencia Resolutora que las facturas que han sido pagadas de acuerdo a las p</w:t>
      </w:r>
      <w:r w:rsidR="0084694A" w:rsidRPr="00C86CE3">
        <w:rPr>
          <w:rFonts w:ascii="Palatino Linotype" w:hAnsi="Palatino Linotype" w:cs="Arial"/>
        </w:rPr>
        <w:t xml:space="preserve">artidas que le sean aplicables para la adquisición de los </w:t>
      </w:r>
      <w:r w:rsidR="0084694A" w:rsidRPr="00C86CE3">
        <w:rPr>
          <w:rFonts w:ascii="Palatino Linotype" w:eastAsia="Arial Unicode MS" w:hAnsi="Palatino Linotype" w:cs="Arial"/>
        </w:rPr>
        <w:t xml:space="preserve">brocales con tapa y boca de tormenta que </w:t>
      </w:r>
      <w:r w:rsidR="0084694A" w:rsidRPr="00C86CE3">
        <w:rPr>
          <w:rFonts w:ascii="Palatino Linotype" w:eastAsia="Arial Unicode MS" w:hAnsi="Palatino Linotype" w:cs="Arial"/>
          <w:b/>
        </w:rPr>
        <w:t xml:space="preserve">EL SUJETO OBLIGADO </w:t>
      </w:r>
      <w:r w:rsidR="0084694A" w:rsidRPr="00C86CE3">
        <w:rPr>
          <w:rFonts w:ascii="Palatino Linotype" w:eastAsia="Arial Unicode MS" w:hAnsi="Palatino Linotype" w:cs="Arial"/>
        </w:rPr>
        <w:t xml:space="preserve">hubiera realizado durante el 1 de enero de 2016 al 6 de noviembre de 2018, constituyen otro de los documentos que pudiera colmar el derecho de acceso a la información de la particular; por lo que, </w:t>
      </w:r>
      <w:r w:rsidRPr="00C86CE3">
        <w:rPr>
          <w:rFonts w:ascii="Palatino Linotype" w:hAnsi="Palatino Linotype" w:cs="Arial"/>
        </w:rPr>
        <w:t xml:space="preserve">debemos primeramente conocer a que nos referimos por </w:t>
      </w:r>
      <w:r w:rsidRPr="00C86CE3">
        <w:rPr>
          <w:rFonts w:ascii="Palatino Linotype" w:hAnsi="Palatino Linotype" w:cs="Arial"/>
          <w:b/>
        </w:rPr>
        <w:t xml:space="preserve">“factura”, </w:t>
      </w:r>
      <w:r w:rsidRPr="00C86CE3">
        <w:rPr>
          <w:rFonts w:ascii="Palatino Linotype" w:hAnsi="Palatino Linotype" w:cs="Arial"/>
        </w:rPr>
        <w:t>al respecto, e</w:t>
      </w:r>
      <w:r w:rsidRPr="00C86CE3">
        <w:rPr>
          <w:rFonts w:ascii="Palatino Linotype" w:hAnsi="Palatino Linotype"/>
        </w:rPr>
        <w:t>l Glosario de Términos Hacendarios que emite el Instituto Hacendario del Estado de México, expresa lo siguiente:</w:t>
      </w:r>
    </w:p>
    <w:p w:rsidR="00C919F1" w:rsidRPr="00C86CE3" w:rsidRDefault="00C919F1" w:rsidP="00C919F1">
      <w:pPr>
        <w:autoSpaceDE w:val="0"/>
        <w:autoSpaceDN w:val="0"/>
        <w:adjustRightInd w:val="0"/>
        <w:spacing w:before="120" w:after="120"/>
        <w:ind w:left="851" w:right="902"/>
        <w:jc w:val="both"/>
        <w:rPr>
          <w:rFonts w:ascii="Palatino Linotype" w:hAnsi="Palatino Linotype" w:cs="Arial"/>
          <w:b/>
          <w:i/>
          <w:sz w:val="22"/>
          <w:szCs w:val="22"/>
        </w:rPr>
      </w:pPr>
      <w:r w:rsidRPr="00C86CE3">
        <w:rPr>
          <w:rFonts w:ascii="Palatino Linotype" w:hAnsi="Palatino Linotype" w:cs="Arial"/>
          <w:i/>
          <w:sz w:val="22"/>
          <w:szCs w:val="22"/>
        </w:rPr>
        <w:lastRenderedPageBreak/>
        <w:t>“</w:t>
      </w:r>
      <w:r w:rsidRPr="00C86CE3">
        <w:rPr>
          <w:rFonts w:ascii="Palatino Linotype" w:hAnsi="Palatino Linotype" w:cs="Arial"/>
          <w:b/>
          <w:i/>
          <w:sz w:val="22"/>
          <w:szCs w:val="22"/>
        </w:rPr>
        <w:t>FACTURA</w:t>
      </w:r>
    </w:p>
    <w:p w:rsidR="00C919F1" w:rsidRPr="00C86CE3" w:rsidRDefault="00C919F1" w:rsidP="00C919F1">
      <w:pPr>
        <w:autoSpaceDE w:val="0"/>
        <w:autoSpaceDN w:val="0"/>
        <w:adjustRightInd w:val="0"/>
        <w:spacing w:before="120" w:after="120"/>
        <w:ind w:left="851" w:right="902"/>
        <w:jc w:val="both"/>
        <w:rPr>
          <w:rFonts w:ascii="Palatino Linotype" w:hAnsi="Palatino Linotype" w:cs="Arial"/>
          <w:i/>
          <w:sz w:val="22"/>
          <w:szCs w:val="22"/>
        </w:rPr>
      </w:pPr>
      <w:r w:rsidRPr="00C86CE3">
        <w:rPr>
          <w:rFonts w:ascii="Palatino Linotype" w:hAnsi="Palatino Linotype" w:cs="Arial"/>
          <w:i/>
          <w:sz w:val="22"/>
          <w:szCs w:val="22"/>
        </w:rPr>
        <w:t>Es el documento fiscal que emite la persona física o moral para comprobar la venta o adquisición de un bien y/o servicio.” (Sic)</w:t>
      </w:r>
    </w:p>
    <w:p w:rsidR="00C919F1" w:rsidRPr="00C86CE3" w:rsidRDefault="00C919F1" w:rsidP="0084694A">
      <w:pPr>
        <w:spacing w:before="240" w:after="240" w:line="360" w:lineRule="auto"/>
        <w:jc w:val="both"/>
        <w:rPr>
          <w:rFonts w:ascii="Palatino Linotype" w:hAnsi="Palatino Linotype" w:cs="Arial"/>
        </w:rPr>
      </w:pPr>
      <w:r w:rsidRPr="00C86CE3">
        <w:rPr>
          <w:rFonts w:ascii="Palatino Linotype" w:hAnsi="Palatino Linotype" w:cs="Arial"/>
        </w:rPr>
        <w:t xml:space="preserve">Una vez precisado lo anterior, es de señalarse que las facturas o comprobantes que amparan las erogaciones que se realizan con erario público tienen naturaleza </w:t>
      </w:r>
      <w:r w:rsidR="0084694A" w:rsidRPr="00C86CE3">
        <w:rPr>
          <w:rFonts w:ascii="Palatino Linotype" w:hAnsi="Palatino Linotype" w:cs="Arial"/>
        </w:rPr>
        <w:t>pública</w:t>
      </w:r>
      <w:r w:rsidRPr="00C86CE3">
        <w:rPr>
          <w:rFonts w:ascii="Palatino Linotype" w:hAnsi="Palatino Linotype" w:cs="Arial"/>
        </w:rPr>
        <w:t xml:space="preserve"> pues, constituyen los medios idóneos de evidencia del gasto </w:t>
      </w:r>
      <w:r w:rsidR="0084694A" w:rsidRPr="00C86CE3">
        <w:rPr>
          <w:rFonts w:ascii="Palatino Linotype" w:hAnsi="Palatino Linotype" w:cs="Arial"/>
        </w:rPr>
        <w:t xml:space="preserve">realizado con recursos públicos, de ahí que convenga precisar </w:t>
      </w:r>
      <w:r w:rsidRPr="00C86CE3">
        <w:rPr>
          <w:rFonts w:ascii="Palatino Linotype" w:hAnsi="Palatino Linotype" w:cs="Arial"/>
        </w:rPr>
        <w:t>que la Constitución Política del Estado Libre y Soberano de México en su artículo 129 señala que l</w:t>
      </w:r>
      <w:r w:rsidRPr="00C86CE3">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C919F1" w:rsidRPr="00C86CE3" w:rsidRDefault="00C919F1" w:rsidP="00C919F1">
      <w:pPr>
        <w:widowControl w:val="0"/>
        <w:autoSpaceDE w:val="0"/>
        <w:autoSpaceDN w:val="0"/>
        <w:adjustRightInd w:val="0"/>
        <w:spacing w:before="240" w:after="240" w:line="360" w:lineRule="auto"/>
        <w:jc w:val="both"/>
        <w:rPr>
          <w:rFonts w:ascii="Palatino Linotype" w:hAnsi="Palatino Linotype" w:cs="Arial"/>
        </w:rPr>
      </w:pPr>
      <w:r w:rsidRPr="00C86CE3">
        <w:rPr>
          <w:rFonts w:ascii="Palatino Linotype" w:hAnsi="Palatino Linotype" w:cs="Arial"/>
        </w:rPr>
        <w:t xml:space="preserve">Aunado a </w:t>
      </w:r>
      <w:r w:rsidR="00500847" w:rsidRPr="00C86CE3">
        <w:rPr>
          <w:rFonts w:ascii="Palatino Linotype" w:hAnsi="Palatino Linotype" w:cs="Arial"/>
        </w:rPr>
        <w:t>ello</w:t>
      </w:r>
      <w:r w:rsidRPr="00C86CE3">
        <w:rPr>
          <w:rFonts w:ascii="Palatino Linotype" w:hAnsi="Palatino Linotype" w:cs="Arial"/>
        </w:rPr>
        <w:t>, los artículos 342, 343, 344 y 345 del Código Financiero del Estado de México y Municipios disponen el sistema y las políticas que deben seguirse para llevar el registro contable y presupuestal de las operaciones financieras, en los siguientes términos:</w:t>
      </w:r>
    </w:p>
    <w:p w:rsidR="00C919F1" w:rsidRPr="00C86CE3" w:rsidRDefault="00C919F1" w:rsidP="00C919F1">
      <w:pPr>
        <w:spacing w:before="120" w:after="120"/>
        <w:ind w:left="851" w:right="850"/>
        <w:jc w:val="both"/>
        <w:rPr>
          <w:rFonts w:ascii="Palatino Linotype" w:hAnsi="Palatino Linotype"/>
          <w:b/>
          <w:i/>
          <w:sz w:val="22"/>
          <w:szCs w:val="22"/>
        </w:rPr>
      </w:pPr>
      <w:r w:rsidRPr="00C86CE3">
        <w:rPr>
          <w:rFonts w:ascii="Palatino Linotype" w:hAnsi="Palatino Linotype" w:cs="Arial"/>
          <w:bCs/>
          <w:i/>
          <w:color w:val="000000"/>
          <w:sz w:val="22"/>
          <w:szCs w:val="22"/>
        </w:rPr>
        <w:t>“</w:t>
      </w:r>
      <w:r w:rsidRPr="00C86CE3">
        <w:rPr>
          <w:rFonts w:ascii="Palatino Linotype" w:hAnsi="Palatino Linotype"/>
          <w:b/>
          <w:i/>
          <w:sz w:val="22"/>
          <w:szCs w:val="22"/>
        </w:rPr>
        <w:t>Artículo 342.-</w:t>
      </w:r>
      <w:r w:rsidRPr="00C86CE3">
        <w:rPr>
          <w:rFonts w:ascii="Palatino Linotype" w:hAnsi="Palatino Linotype"/>
          <w:i/>
          <w:sz w:val="22"/>
          <w:szCs w:val="22"/>
        </w:rPr>
        <w:t xml:space="preserve"> </w:t>
      </w:r>
      <w:r w:rsidRPr="00C86CE3">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C86CE3">
        <w:rPr>
          <w:rFonts w:ascii="Palatino Linotype" w:hAnsi="Palatino Linotype"/>
          <w:i/>
          <w:sz w:val="22"/>
          <w:szCs w:val="22"/>
        </w:rPr>
        <w:t xml:space="preserve">de </w:t>
      </w:r>
      <w:r w:rsidRPr="00C86CE3">
        <w:rPr>
          <w:rFonts w:ascii="Palatino Linotype" w:hAnsi="Palatino Linotype" w:cs="Arial"/>
          <w:i/>
          <w:color w:val="000000"/>
          <w:sz w:val="22"/>
          <w:szCs w:val="22"/>
        </w:rPr>
        <w:t>planeación</w:t>
      </w:r>
      <w:r w:rsidRPr="00C86CE3">
        <w:rPr>
          <w:rFonts w:ascii="Palatino Linotype" w:hAnsi="Palatino Linotype"/>
          <w:i/>
          <w:sz w:val="22"/>
          <w:szCs w:val="22"/>
        </w:rPr>
        <w:t>,</w:t>
      </w:r>
      <w:r w:rsidRPr="00C86CE3">
        <w:rPr>
          <w:rFonts w:ascii="Palatino Linotype" w:hAnsi="Palatino Linotype"/>
          <w:b/>
          <w:i/>
          <w:sz w:val="22"/>
          <w:szCs w:val="22"/>
        </w:rPr>
        <w:t xml:space="preserve"> programación, presupuestación</w:t>
      </w:r>
      <w:r w:rsidRPr="00C86CE3">
        <w:rPr>
          <w:rFonts w:ascii="Palatino Linotype" w:hAnsi="Palatino Linotype"/>
          <w:i/>
          <w:sz w:val="22"/>
          <w:szCs w:val="22"/>
        </w:rPr>
        <w:t xml:space="preserve">, evaluación y </w:t>
      </w:r>
      <w:r w:rsidRPr="00C86CE3">
        <w:rPr>
          <w:rFonts w:ascii="Palatino Linotype" w:hAnsi="Palatino Linotype" w:cs="Arial"/>
          <w:b/>
          <w:i/>
          <w:color w:val="000000"/>
          <w:sz w:val="22"/>
          <w:szCs w:val="22"/>
        </w:rPr>
        <w:t>contabilidad</w:t>
      </w:r>
      <w:r w:rsidRPr="00C86CE3">
        <w:rPr>
          <w:rFonts w:ascii="Palatino Linotype" w:hAnsi="Palatino Linotype"/>
          <w:b/>
          <w:i/>
          <w:sz w:val="22"/>
          <w:szCs w:val="22"/>
        </w:rPr>
        <w:t xml:space="preserve"> gubernamental.</w:t>
      </w:r>
      <w:r w:rsidRPr="00C86CE3">
        <w:rPr>
          <w:rFonts w:ascii="Palatino Linotype" w:hAnsi="Palatino Linotype"/>
          <w:i/>
          <w:sz w:val="22"/>
          <w:szCs w:val="22"/>
        </w:rPr>
        <w:t xml:space="preserve"> </w:t>
      </w:r>
    </w:p>
    <w:p w:rsidR="00C919F1" w:rsidRPr="00C86CE3" w:rsidRDefault="00C919F1" w:rsidP="00C919F1">
      <w:pPr>
        <w:spacing w:before="120" w:after="120"/>
        <w:ind w:left="851" w:right="850"/>
        <w:jc w:val="both"/>
        <w:rPr>
          <w:rFonts w:ascii="Palatino Linotype" w:hAnsi="Palatino Linotype"/>
          <w:b/>
          <w:i/>
          <w:sz w:val="22"/>
          <w:szCs w:val="22"/>
        </w:rPr>
      </w:pPr>
      <w:r w:rsidRPr="00C86CE3">
        <w:rPr>
          <w:rFonts w:ascii="Palatino Linotype" w:hAnsi="Palatino Linotype" w:cs="Arial"/>
          <w:b/>
          <w:bCs/>
          <w:i/>
          <w:color w:val="000000"/>
          <w:sz w:val="22"/>
          <w:szCs w:val="22"/>
        </w:rPr>
        <w:t>…</w:t>
      </w:r>
    </w:p>
    <w:p w:rsidR="00C919F1" w:rsidRPr="00C86CE3" w:rsidRDefault="00C919F1" w:rsidP="00C919F1">
      <w:pPr>
        <w:spacing w:before="120" w:after="120"/>
        <w:ind w:left="851" w:right="850"/>
        <w:jc w:val="both"/>
        <w:rPr>
          <w:rFonts w:ascii="Palatino Linotype" w:hAnsi="Palatino Linotype"/>
          <w:i/>
          <w:sz w:val="22"/>
          <w:szCs w:val="22"/>
        </w:rPr>
      </w:pPr>
      <w:r w:rsidRPr="00C86CE3">
        <w:rPr>
          <w:rFonts w:ascii="Palatino Linotype" w:hAnsi="Palatino Linotype"/>
          <w:b/>
          <w:i/>
          <w:sz w:val="22"/>
          <w:szCs w:val="22"/>
        </w:rPr>
        <w:t>Artículo 343.-</w:t>
      </w:r>
      <w:r w:rsidRPr="00C86CE3">
        <w:rPr>
          <w:rFonts w:ascii="Palatino Linotype" w:hAnsi="Palatino Linotype"/>
          <w:i/>
          <w:sz w:val="22"/>
          <w:szCs w:val="22"/>
        </w:rPr>
        <w:t xml:space="preserve"> El sistema de contabilidad debe diseñarse sobre base acumulativa total y operarse en forma que facilite la fiscalización de los activos, pasivos, ingresos, </w:t>
      </w:r>
      <w:r w:rsidRPr="00C86CE3">
        <w:rPr>
          <w:rFonts w:ascii="Palatino Linotype" w:hAnsi="Palatino Linotype"/>
          <w:i/>
          <w:sz w:val="22"/>
          <w:szCs w:val="22"/>
        </w:rPr>
        <w:lastRenderedPageBreak/>
        <w:t xml:space="preserve">egresos y, en general, que posibilite medir la eficacia del gasto público, y contener las medidas de control interno que permitan verificar el registro de la totalidad de las operaciones financieras. </w:t>
      </w:r>
    </w:p>
    <w:p w:rsidR="00C919F1" w:rsidRPr="00C86CE3" w:rsidRDefault="00C919F1" w:rsidP="00C919F1">
      <w:pPr>
        <w:spacing w:before="120" w:after="120"/>
        <w:ind w:left="851" w:right="850"/>
        <w:jc w:val="both"/>
        <w:rPr>
          <w:rFonts w:ascii="Palatino Linotype" w:hAnsi="Palatino Linotype"/>
          <w:i/>
          <w:sz w:val="22"/>
          <w:szCs w:val="22"/>
        </w:rPr>
      </w:pPr>
      <w:r w:rsidRPr="00C86CE3">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C919F1" w:rsidRPr="00C86CE3" w:rsidRDefault="00C919F1" w:rsidP="00C919F1">
      <w:pPr>
        <w:spacing w:before="120" w:after="120"/>
        <w:ind w:left="851" w:right="850"/>
        <w:jc w:val="both"/>
        <w:rPr>
          <w:rFonts w:ascii="Palatino Linotype" w:hAnsi="Palatino Linotype"/>
          <w:i/>
          <w:sz w:val="22"/>
          <w:szCs w:val="22"/>
        </w:rPr>
      </w:pPr>
      <w:r w:rsidRPr="00C86CE3">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C86CE3">
        <w:rPr>
          <w:rFonts w:ascii="Palatino Linotype" w:hAnsi="Palatino Linotype"/>
          <w:i/>
          <w:sz w:val="22"/>
          <w:szCs w:val="22"/>
        </w:rPr>
        <w:t xml:space="preserve">en el caso de los Municipios se hará por la Tesorería. </w:t>
      </w:r>
    </w:p>
    <w:p w:rsidR="00C919F1" w:rsidRPr="00C86CE3" w:rsidRDefault="00C919F1" w:rsidP="00C919F1">
      <w:pPr>
        <w:autoSpaceDE w:val="0"/>
        <w:autoSpaceDN w:val="0"/>
        <w:adjustRightInd w:val="0"/>
        <w:spacing w:before="120" w:after="120"/>
        <w:ind w:left="851" w:right="51"/>
        <w:jc w:val="both"/>
        <w:rPr>
          <w:rFonts w:ascii="Palatino Linotype" w:hAnsi="Palatino Linotype"/>
          <w:i/>
          <w:sz w:val="22"/>
          <w:szCs w:val="22"/>
        </w:rPr>
      </w:pPr>
      <w:r w:rsidRPr="00C86CE3">
        <w:rPr>
          <w:rFonts w:ascii="Palatino Linotype" w:hAnsi="Palatino Linotype"/>
          <w:i/>
          <w:sz w:val="22"/>
          <w:szCs w:val="22"/>
        </w:rPr>
        <w:t xml:space="preserve">Derogado. </w:t>
      </w:r>
    </w:p>
    <w:p w:rsidR="00C919F1" w:rsidRPr="00C86CE3" w:rsidRDefault="00C919F1" w:rsidP="00C919F1">
      <w:pPr>
        <w:spacing w:before="120" w:after="120"/>
        <w:ind w:left="851" w:right="850"/>
        <w:jc w:val="both"/>
        <w:rPr>
          <w:rFonts w:ascii="Palatino Linotype" w:hAnsi="Palatino Linotype"/>
          <w:i/>
          <w:sz w:val="22"/>
          <w:szCs w:val="22"/>
        </w:rPr>
      </w:pPr>
      <w:r w:rsidRPr="00C86CE3">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86CE3">
        <w:rPr>
          <w:rFonts w:ascii="Palatino Linotype" w:hAnsi="Palatino Linotype"/>
          <w:i/>
          <w:sz w:val="22"/>
          <w:szCs w:val="22"/>
        </w:rPr>
        <w:t xml:space="preserve"> a partir del ejercicio presupuestal siguiente al que corresponda, en el caso de los municipios se hará por la Tesorería. </w:t>
      </w:r>
    </w:p>
    <w:p w:rsidR="00C919F1" w:rsidRPr="00C86CE3" w:rsidRDefault="00C919F1" w:rsidP="00C919F1">
      <w:pPr>
        <w:autoSpaceDE w:val="0"/>
        <w:autoSpaceDN w:val="0"/>
        <w:adjustRightInd w:val="0"/>
        <w:spacing w:before="120" w:after="120"/>
        <w:ind w:left="851" w:right="51"/>
        <w:jc w:val="both"/>
        <w:rPr>
          <w:rFonts w:ascii="Palatino Linotype" w:hAnsi="Palatino Linotype"/>
          <w:i/>
          <w:sz w:val="22"/>
          <w:szCs w:val="22"/>
        </w:rPr>
      </w:pPr>
      <w:r w:rsidRPr="00C86CE3">
        <w:rPr>
          <w:rFonts w:ascii="Palatino Linotype" w:hAnsi="Palatino Linotype"/>
          <w:i/>
          <w:sz w:val="22"/>
          <w:szCs w:val="22"/>
        </w:rPr>
        <w:t>…</w:t>
      </w:r>
    </w:p>
    <w:p w:rsidR="00C919F1" w:rsidRPr="00C86CE3" w:rsidRDefault="00C919F1" w:rsidP="00C919F1">
      <w:pPr>
        <w:spacing w:before="120" w:after="120"/>
        <w:ind w:left="851" w:right="850"/>
        <w:jc w:val="both"/>
        <w:rPr>
          <w:rFonts w:ascii="Palatino Linotype" w:hAnsi="Palatino Linotype"/>
          <w:i/>
          <w:sz w:val="22"/>
          <w:szCs w:val="22"/>
        </w:rPr>
      </w:pPr>
      <w:r w:rsidRPr="00C86CE3">
        <w:rPr>
          <w:rFonts w:ascii="Palatino Linotype" w:hAnsi="Palatino Linotype"/>
          <w:b/>
          <w:i/>
          <w:sz w:val="22"/>
          <w:szCs w:val="22"/>
        </w:rPr>
        <w:t>Artículo 345.-</w:t>
      </w:r>
      <w:r w:rsidRPr="00C86CE3">
        <w:rPr>
          <w:rFonts w:ascii="Palatino Linotype" w:hAnsi="Palatino Linotype"/>
          <w:i/>
          <w:sz w:val="22"/>
          <w:szCs w:val="22"/>
        </w:rPr>
        <w:t xml:space="preserve"> </w:t>
      </w:r>
      <w:r w:rsidRPr="00C86CE3">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C86CE3">
        <w:rPr>
          <w:rFonts w:ascii="Palatino Linotype" w:hAnsi="Palatino Linotype"/>
          <w:i/>
          <w:sz w:val="22"/>
          <w:szCs w:val="22"/>
        </w:rPr>
        <w:t xml:space="preserve">, la remitirán en un plazo que no excederá de seis meses al Archivo Contable Gubernamental. </w:t>
      </w:r>
      <w:r w:rsidRPr="00C86CE3">
        <w:rPr>
          <w:rFonts w:ascii="Palatino Linotype" w:hAnsi="Palatino Linotype"/>
          <w:b/>
          <w:i/>
          <w:sz w:val="22"/>
          <w:szCs w:val="22"/>
        </w:rPr>
        <w:t>Tratándose de los comprobantes fiscales digitales, estos deberán estar agregados en forma electrónica en cada póliza de registro contable</w:t>
      </w:r>
      <w:r w:rsidRPr="00C86CE3">
        <w:rPr>
          <w:rFonts w:ascii="Palatino Linotype" w:hAnsi="Palatino Linotype"/>
          <w:i/>
          <w:sz w:val="22"/>
          <w:szCs w:val="22"/>
        </w:rPr>
        <w:t xml:space="preserve">. </w:t>
      </w:r>
    </w:p>
    <w:p w:rsidR="00C919F1" w:rsidRPr="00C86CE3" w:rsidRDefault="00C919F1" w:rsidP="00C919F1">
      <w:pPr>
        <w:spacing w:before="120" w:after="120"/>
        <w:ind w:left="851" w:right="850"/>
        <w:jc w:val="both"/>
        <w:rPr>
          <w:rFonts w:ascii="Palatino Linotype" w:hAnsi="Palatino Linotype" w:cs="Arial"/>
          <w:bCs/>
          <w:i/>
          <w:color w:val="000000"/>
          <w:sz w:val="22"/>
          <w:szCs w:val="22"/>
        </w:rPr>
      </w:pPr>
      <w:r w:rsidRPr="00C86CE3">
        <w:rPr>
          <w:rFonts w:ascii="Palatino Linotype" w:hAnsi="Palatino Linotype"/>
          <w:i/>
          <w:sz w:val="22"/>
          <w:szCs w:val="22"/>
        </w:rPr>
        <w:t>El plazo señalado en el párrafo anterior, empezará a contar a partir de la publicación en el Periódico Oficial, del decreto correspondiente.</w:t>
      </w:r>
      <w:r w:rsidRPr="00C86CE3">
        <w:rPr>
          <w:rFonts w:ascii="Palatino Linotype" w:hAnsi="Palatino Linotype" w:cs="Arial"/>
          <w:bCs/>
          <w:i/>
          <w:color w:val="000000"/>
          <w:sz w:val="22"/>
          <w:szCs w:val="22"/>
        </w:rPr>
        <w:t xml:space="preserve"> “</w:t>
      </w:r>
      <w:r w:rsidRPr="00C86CE3">
        <w:rPr>
          <w:rFonts w:ascii="Palatino Linotype" w:hAnsi="Palatino Linotype" w:cs="Arial"/>
          <w:i/>
          <w:sz w:val="22"/>
          <w:szCs w:val="22"/>
        </w:rPr>
        <w:t>(Sic)</w:t>
      </w:r>
      <w:r w:rsidRPr="00C86CE3">
        <w:rPr>
          <w:rFonts w:ascii="Palatino Linotype" w:hAnsi="Palatino Linotype" w:cs="Arial"/>
          <w:bCs/>
          <w:i/>
          <w:color w:val="000000"/>
          <w:sz w:val="22"/>
          <w:szCs w:val="22"/>
        </w:rPr>
        <w:t xml:space="preserve"> </w:t>
      </w:r>
    </w:p>
    <w:p w:rsidR="00C919F1" w:rsidRPr="00C86CE3" w:rsidRDefault="00C919F1" w:rsidP="00C919F1">
      <w:pPr>
        <w:spacing w:before="120" w:after="120"/>
        <w:ind w:left="851" w:right="850"/>
        <w:jc w:val="both"/>
        <w:rPr>
          <w:rFonts w:ascii="Palatino Linotype" w:hAnsi="Palatino Linotype" w:cs="Arial"/>
          <w:bCs/>
          <w:i/>
          <w:color w:val="000000"/>
          <w:sz w:val="22"/>
          <w:szCs w:val="22"/>
        </w:rPr>
      </w:pPr>
      <w:r w:rsidRPr="00C86CE3">
        <w:rPr>
          <w:rFonts w:ascii="Palatino Linotype" w:hAnsi="Palatino Linotype" w:cs="Arial"/>
          <w:bCs/>
          <w:i/>
          <w:color w:val="000000"/>
          <w:sz w:val="22"/>
          <w:szCs w:val="22"/>
        </w:rPr>
        <w:t>(Énfasis añadido)</w:t>
      </w:r>
    </w:p>
    <w:p w:rsidR="00C919F1" w:rsidRPr="00C86CE3" w:rsidRDefault="00C919F1" w:rsidP="00C919F1">
      <w:pPr>
        <w:spacing w:before="240" w:after="240" w:line="360" w:lineRule="auto"/>
        <w:jc w:val="both"/>
        <w:rPr>
          <w:rFonts w:ascii="Palatino Linotype" w:hAnsi="Palatino Linotype" w:cs="Arial"/>
          <w:bCs/>
          <w:color w:val="000000"/>
        </w:rPr>
      </w:pPr>
      <w:r w:rsidRPr="00C86CE3">
        <w:rPr>
          <w:rFonts w:ascii="Palatino Linotype" w:hAnsi="Palatino Linotype" w:cs="Arial"/>
        </w:rPr>
        <w:lastRenderedPageBreak/>
        <w:t>De una interpretación sistemática de los artículos transcritos, se desprende primeramente que el</w:t>
      </w:r>
      <w:r w:rsidRPr="00C86CE3">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C919F1" w:rsidRPr="00C86CE3" w:rsidRDefault="00C919F1" w:rsidP="00C919F1">
      <w:pPr>
        <w:spacing w:before="240" w:after="240" w:line="360" w:lineRule="auto"/>
        <w:jc w:val="both"/>
        <w:rPr>
          <w:rFonts w:ascii="Palatino Linotype" w:hAnsi="Palatino Linotype" w:cs="Arial"/>
          <w:lang w:eastAsia="es-MX"/>
        </w:rPr>
      </w:pPr>
      <w:r w:rsidRPr="00C86CE3">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C86CE3">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C919F1" w:rsidRPr="00C86CE3" w:rsidRDefault="00C919F1" w:rsidP="00C919F1">
      <w:pPr>
        <w:spacing w:before="120" w:after="120"/>
        <w:ind w:firstLine="708"/>
        <w:jc w:val="both"/>
        <w:rPr>
          <w:rFonts w:ascii="Palatino Linotype" w:hAnsi="Palatino Linotype" w:cs="Arial"/>
          <w:b/>
          <w:i/>
          <w:sz w:val="22"/>
          <w:szCs w:val="22"/>
          <w:lang w:eastAsia="es-MX"/>
        </w:rPr>
      </w:pPr>
      <w:r w:rsidRPr="00C86CE3">
        <w:rPr>
          <w:rFonts w:ascii="Palatino Linotype" w:hAnsi="Palatino Linotype" w:cs="Arial"/>
          <w:b/>
          <w:i/>
          <w:lang w:eastAsia="es-MX"/>
        </w:rPr>
        <w:t>“</w:t>
      </w:r>
      <w:r w:rsidRPr="00C86CE3">
        <w:rPr>
          <w:rFonts w:ascii="Palatino Linotype" w:hAnsi="Palatino Linotype" w:cs="Arial"/>
          <w:b/>
          <w:i/>
          <w:sz w:val="22"/>
          <w:szCs w:val="22"/>
          <w:lang w:eastAsia="es-MX"/>
        </w:rPr>
        <w:t xml:space="preserve">REGISTRO CONTABLE </w:t>
      </w:r>
    </w:p>
    <w:p w:rsidR="00C919F1" w:rsidRPr="00C86CE3" w:rsidRDefault="00C919F1" w:rsidP="00C919F1">
      <w:pPr>
        <w:spacing w:before="120" w:after="120"/>
        <w:ind w:left="851" w:right="899"/>
        <w:jc w:val="both"/>
        <w:rPr>
          <w:rFonts w:ascii="Palatino Linotype" w:hAnsi="Palatino Linotype" w:cs="Arial"/>
          <w:i/>
          <w:sz w:val="22"/>
          <w:szCs w:val="22"/>
        </w:rPr>
      </w:pPr>
      <w:r w:rsidRPr="00C86CE3">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C86CE3">
        <w:rPr>
          <w:rFonts w:ascii="Palatino Linotype" w:hAnsi="Palatino Linotype" w:cs="Arial"/>
          <w:i/>
          <w:sz w:val="22"/>
          <w:szCs w:val="22"/>
        </w:rPr>
        <w:t>(Sic)</w:t>
      </w:r>
    </w:p>
    <w:p w:rsidR="00500847" w:rsidRPr="00C86CE3" w:rsidRDefault="00500847" w:rsidP="00C919F1">
      <w:pPr>
        <w:spacing w:before="120" w:after="120"/>
        <w:ind w:right="899" w:firstLine="708"/>
        <w:jc w:val="both"/>
        <w:rPr>
          <w:rFonts w:ascii="Palatino Linotype" w:hAnsi="Palatino Linotype" w:cs="Arial"/>
          <w:b/>
          <w:i/>
          <w:sz w:val="22"/>
          <w:szCs w:val="22"/>
          <w:lang w:eastAsia="es-MX"/>
        </w:rPr>
      </w:pPr>
    </w:p>
    <w:p w:rsidR="00C919F1" w:rsidRPr="00C86CE3" w:rsidRDefault="00C919F1" w:rsidP="00C919F1">
      <w:pPr>
        <w:spacing w:before="120" w:after="120"/>
        <w:ind w:right="899" w:firstLine="708"/>
        <w:jc w:val="both"/>
        <w:rPr>
          <w:rFonts w:ascii="Palatino Linotype" w:hAnsi="Palatino Linotype" w:cs="Arial"/>
          <w:b/>
          <w:i/>
          <w:sz w:val="22"/>
          <w:szCs w:val="22"/>
          <w:lang w:eastAsia="es-MX"/>
        </w:rPr>
      </w:pPr>
      <w:r w:rsidRPr="00C86CE3">
        <w:rPr>
          <w:rFonts w:ascii="Palatino Linotype" w:hAnsi="Palatino Linotype" w:cs="Arial"/>
          <w:b/>
          <w:i/>
          <w:sz w:val="22"/>
          <w:szCs w:val="22"/>
          <w:lang w:eastAsia="es-MX"/>
        </w:rPr>
        <w:lastRenderedPageBreak/>
        <w:t>“REGISTRO PRESUPUESTARIO</w:t>
      </w:r>
    </w:p>
    <w:p w:rsidR="00C919F1" w:rsidRPr="00C86CE3" w:rsidRDefault="00C919F1" w:rsidP="00C919F1">
      <w:pPr>
        <w:spacing w:before="120" w:after="120"/>
        <w:ind w:left="708" w:right="899"/>
        <w:jc w:val="both"/>
        <w:rPr>
          <w:rFonts w:ascii="Palatino Linotype" w:hAnsi="Palatino Linotype" w:cs="Arial"/>
          <w:i/>
          <w:sz w:val="22"/>
          <w:szCs w:val="22"/>
          <w:lang w:eastAsia="es-MX"/>
        </w:rPr>
      </w:pPr>
      <w:r w:rsidRPr="00C86CE3">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C86CE3">
        <w:rPr>
          <w:rFonts w:ascii="Palatino Linotype" w:hAnsi="Palatino Linotype" w:cs="Arial"/>
          <w:i/>
          <w:sz w:val="22"/>
          <w:szCs w:val="22"/>
        </w:rPr>
        <w:t>(Sic)</w:t>
      </w:r>
    </w:p>
    <w:p w:rsidR="00C919F1" w:rsidRPr="00C86CE3" w:rsidRDefault="00C919F1" w:rsidP="00C919F1">
      <w:pPr>
        <w:spacing w:before="240" w:after="240" w:line="360" w:lineRule="auto"/>
        <w:jc w:val="both"/>
        <w:rPr>
          <w:rFonts w:ascii="Palatino Linotype" w:hAnsi="Palatino Linotype" w:cs="Arial"/>
          <w:bCs/>
          <w:color w:val="000000"/>
        </w:rPr>
      </w:pPr>
      <w:r w:rsidRPr="00C86CE3">
        <w:rPr>
          <w:rFonts w:ascii="Palatino Linotype" w:hAnsi="Palatino Linotype" w:cs="Arial"/>
          <w:bCs/>
          <w:color w:val="000000"/>
        </w:rPr>
        <w:t>Por otra parte, se establece que el sistema de contabilidad sobre base acumulativa total se sustentará en los principios de contabilidad gubernamental.</w:t>
      </w:r>
    </w:p>
    <w:p w:rsidR="00C919F1" w:rsidRPr="00C86CE3" w:rsidRDefault="00C919F1" w:rsidP="00C919F1">
      <w:pPr>
        <w:spacing w:before="240" w:after="240" w:line="360" w:lineRule="auto"/>
        <w:jc w:val="both"/>
        <w:rPr>
          <w:rFonts w:ascii="Palatino Linotype" w:hAnsi="Palatino Linotype" w:cs="Arial"/>
          <w:bCs/>
          <w:color w:val="000000"/>
        </w:rPr>
      </w:pPr>
      <w:r w:rsidRPr="00C86CE3">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C919F1" w:rsidRPr="00C86CE3" w:rsidRDefault="00C919F1" w:rsidP="00C919F1">
      <w:pPr>
        <w:autoSpaceDE w:val="0"/>
        <w:autoSpaceDN w:val="0"/>
        <w:adjustRightInd w:val="0"/>
        <w:spacing w:before="240" w:after="240" w:line="360" w:lineRule="auto"/>
        <w:jc w:val="both"/>
        <w:rPr>
          <w:rFonts w:ascii="Palatino Linotype" w:hAnsi="Palatino Linotype" w:cs="Arial"/>
          <w:lang w:eastAsia="es-MX"/>
        </w:rPr>
      </w:pPr>
      <w:r w:rsidRPr="00C86CE3">
        <w:rPr>
          <w:rFonts w:ascii="Palatino Linotype" w:hAnsi="Palatino Linotype" w:cs="Arial"/>
          <w:lang w:eastAsia="es-MX"/>
        </w:rPr>
        <w:t xml:space="preserve">Correlativo a lo anterior, es preciso referir una definición de </w:t>
      </w:r>
      <w:r w:rsidRPr="00C86CE3">
        <w:rPr>
          <w:rFonts w:ascii="Palatino Linotype" w:hAnsi="Palatino Linotype" w:cs="Arial"/>
          <w:i/>
          <w:lang w:eastAsia="es-MX"/>
        </w:rPr>
        <w:t>póliza contable</w:t>
      </w:r>
      <w:r w:rsidRPr="00C86CE3">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C919F1" w:rsidRPr="00C86CE3" w:rsidRDefault="00C919F1" w:rsidP="00500847">
      <w:pPr>
        <w:spacing w:before="120" w:after="120"/>
        <w:ind w:left="851" w:right="899"/>
        <w:jc w:val="both"/>
        <w:rPr>
          <w:rFonts w:ascii="Palatino Linotype" w:hAnsi="Palatino Linotype" w:cs="Arial"/>
          <w:b/>
          <w:i/>
          <w:sz w:val="22"/>
          <w:szCs w:val="22"/>
          <w:lang w:eastAsia="es-MX"/>
        </w:rPr>
      </w:pPr>
      <w:r w:rsidRPr="00C86CE3">
        <w:rPr>
          <w:rFonts w:ascii="Palatino Linotype" w:hAnsi="Palatino Linotype" w:cs="Arial"/>
          <w:i/>
          <w:sz w:val="22"/>
          <w:szCs w:val="22"/>
          <w:lang w:eastAsia="es-MX"/>
        </w:rPr>
        <w:t>“</w:t>
      </w:r>
      <w:r w:rsidRPr="00C86CE3">
        <w:rPr>
          <w:rFonts w:ascii="Palatino Linotype" w:hAnsi="Palatino Linotype" w:cs="Arial"/>
          <w:b/>
          <w:i/>
          <w:sz w:val="22"/>
          <w:szCs w:val="22"/>
          <w:lang w:eastAsia="es-MX"/>
        </w:rPr>
        <w:t>PÓLIZA CONTABLE</w:t>
      </w:r>
    </w:p>
    <w:p w:rsidR="00C919F1" w:rsidRPr="00C86CE3" w:rsidRDefault="00C919F1" w:rsidP="00500847">
      <w:pPr>
        <w:spacing w:before="120" w:after="120"/>
        <w:ind w:left="851" w:right="899"/>
        <w:jc w:val="both"/>
        <w:rPr>
          <w:rFonts w:ascii="Palatino Linotype" w:hAnsi="Palatino Linotype" w:cs="Arial"/>
          <w:i/>
          <w:sz w:val="22"/>
          <w:szCs w:val="22"/>
          <w:lang w:eastAsia="es-MX"/>
        </w:rPr>
      </w:pPr>
      <w:r w:rsidRPr="00C86CE3">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rsidR="00C919F1" w:rsidRPr="00C86CE3" w:rsidRDefault="00C919F1" w:rsidP="00C919F1">
      <w:pPr>
        <w:spacing w:before="240" w:after="240" w:line="360" w:lineRule="auto"/>
        <w:jc w:val="both"/>
        <w:rPr>
          <w:rFonts w:ascii="Palatino Linotype" w:hAnsi="Palatino Linotype" w:cs="Arial"/>
          <w:lang w:eastAsia="es-MX"/>
        </w:rPr>
      </w:pPr>
      <w:r w:rsidRPr="00C86CE3">
        <w:rPr>
          <w:rFonts w:ascii="Palatino Linotype" w:hAnsi="Palatino Linotype" w:cs="Arial"/>
          <w:lang w:eastAsia="es-MX"/>
        </w:rPr>
        <w:t xml:space="preserve">Así, se advierte que la </w:t>
      </w:r>
      <w:r w:rsidRPr="00C86CE3">
        <w:rPr>
          <w:rFonts w:ascii="Palatino Linotype" w:hAnsi="Palatino Linotype" w:cs="Arial"/>
          <w:i/>
          <w:lang w:eastAsia="es-MX"/>
        </w:rPr>
        <w:t>póliza contable</w:t>
      </w:r>
      <w:r w:rsidRPr="00C86CE3">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w:t>
      </w:r>
      <w:r w:rsidRPr="00C86CE3">
        <w:rPr>
          <w:rFonts w:ascii="Palatino Linotype" w:hAnsi="Palatino Linotype" w:cs="Arial"/>
          <w:lang w:eastAsia="es-MX"/>
        </w:rPr>
        <w:lastRenderedPageBreak/>
        <w:t>anotaciones y cantidades en ellas registradas, lo que permite la identificación plena de dichas operaciones.</w:t>
      </w:r>
    </w:p>
    <w:p w:rsidR="00C919F1" w:rsidRPr="00C86CE3" w:rsidRDefault="00C919F1" w:rsidP="00C919F1">
      <w:pPr>
        <w:spacing w:before="240" w:after="240" w:line="360" w:lineRule="auto"/>
        <w:jc w:val="both"/>
        <w:rPr>
          <w:rFonts w:ascii="Palatino Linotype" w:hAnsi="Palatino Linotype" w:cs="Arial"/>
          <w:b/>
          <w:lang w:eastAsia="es-MX"/>
        </w:rPr>
      </w:pPr>
      <w:r w:rsidRPr="00C86CE3">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C86CE3">
        <w:rPr>
          <w:rFonts w:ascii="Palatino Linotype" w:hAnsi="Palatino Linotype" w:cs="Arial"/>
          <w:i/>
          <w:lang w:eastAsia="es-MX"/>
        </w:rPr>
        <w:t>pólizas de egresos</w:t>
      </w:r>
      <w:r w:rsidR="00117789" w:rsidRPr="00C86CE3">
        <w:rPr>
          <w:rFonts w:ascii="Palatino Linotype" w:hAnsi="Palatino Linotype" w:cs="Arial"/>
          <w:lang w:eastAsia="es-MX"/>
        </w:rPr>
        <w:t>, son aquellas en</w:t>
      </w:r>
      <w:r w:rsidRPr="00C86CE3">
        <w:rPr>
          <w:rFonts w:ascii="Palatino Linotype" w:hAnsi="Palatino Linotype" w:cs="Arial"/>
          <w:lang w:eastAsia="es-MX"/>
        </w:rPr>
        <w:t xml:space="preserve"> las cuales se anotan diariamente las operaciones que representan </w:t>
      </w:r>
      <w:r w:rsidR="00117789" w:rsidRPr="00C86CE3">
        <w:rPr>
          <w:rFonts w:ascii="Palatino Linotype" w:hAnsi="Palatino Linotype" w:cs="Arial"/>
          <w:lang w:eastAsia="es-MX"/>
        </w:rPr>
        <w:t>gastos</w:t>
      </w:r>
      <w:r w:rsidRPr="00C86CE3">
        <w:rPr>
          <w:rFonts w:ascii="Palatino Linotype" w:hAnsi="Palatino Linotype" w:cs="Arial"/>
          <w:lang w:eastAsia="es-MX"/>
        </w:rPr>
        <w:t xml:space="preserve">, es decir, salidas de dinero para </w:t>
      </w:r>
      <w:r w:rsidRPr="00C86CE3">
        <w:rPr>
          <w:rFonts w:ascii="Palatino Linotype" w:hAnsi="Palatino Linotype" w:cs="Arial"/>
          <w:b/>
          <w:lang w:eastAsia="es-MX"/>
        </w:rPr>
        <w:t>EL SUJETO OBLIGADO</w:t>
      </w:r>
      <w:r w:rsidRPr="00C86CE3">
        <w:rPr>
          <w:rFonts w:ascii="Palatino Linotype" w:hAnsi="Palatino Linotype" w:cs="Arial"/>
          <w:lang w:eastAsia="es-MX"/>
        </w:rPr>
        <w:t>, la</w:t>
      </w:r>
      <w:r w:rsidR="00117789" w:rsidRPr="00C86CE3">
        <w:rPr>
          <w:rFonts w:ascii="Palatino Linotype" w:hAnsi="Palatino Linotype" w:cs="Arial"/>
          <w:lang w:eastAsia="es-MX"/>
        </w:rPr>
        <w:t xml:space="preserve">s que </w:t>
      </w:r>
      <w:r w:rsidRPr="00C86CE3">
        <w:rPr>
          <w:rFonts w:ascii="Palatino Linotype" w:hAnsi="Palatino Linotype" w:cs="Arial"/>
          <w:lang w:eastAsia="es-MX"/>
        </w:rPr>
        <w:t>además, debe</w:t>
      </w:r>
      <w:r w:rsidR="00117789" w:rsidRPr="00C86CE3">
        <w:rPr>
          <w:rFonts w:ascii="Palatino Linotype" w:hAnsi="Palatino Linotype" w:cs="Arial"/>
          <w:lang w:eastAsia="es-MX"/>
        </w:rPr>
        <w:t>n</w:t>
      </w:r>
      <w:r w:rsidRPr="00C86CE3">
        <w:rPr>
          <w:rFonts w:ascii="Palatino Linotype" w:hAnsi="Palatino Linotype" w:cs="Arial"/>
          <w:lang w:eastAsia="es-MX"/>
        </w:rPr>
        <w:t xml:space="preserve"> encontrarse acompañada</w:t>
      </w:r>
      <w:r w:rsidR="00117789" w:rsidRPr="00C86CE3">
        <w:rPr>
          <w:rFonts w:ascii="Palatino Linotype" w:hAnsi="Palatino Linotype" w:cs="Arial"/>
          <w:lang w:eastAsia="es-MX"/>
        </w:rPr>
        <w:t>s</w:t>
      </w:r>
      <w:r w:rsidRPr="00C86CE3">
        <w:rPr>
          <w:rFonts w:ascii="Palatino Linotype" w:hAnsi="Palatino Linotype" w:cs="Arial"/>
          <w:lang w:eastAsia="es-MX"/>
        </w:rPr>
        <w:t xml:space="preserve"> </w:t>
      </w:r>
      <w:r w:rsidRPr="00C86CE3">
        <w:rPr>
          <w:rFonts w:ascii="Palatino Linotype" w:hAnsi="Palatino Linotype" w:cs="Arial"/>
          <w:b/>
          <w:lang w:eastAsia="es-MX"/>
        </w:rPr>
        <w:t xml:space="preserve">de las documentales que sirven de soporte de dicho movimiento. </w:t>
      </w:r>
    </w:p>
    <w:p w:rsidR="00C919F1" w:rsidRPr="00C86CE3" w:rsidRDefault="00C919F1" w:rsidP="00C919F1">
      <w:pPr>
        <w:spacing w:before="240" w:after="240" w:line="360" w:lineRule="auto"/>
        <w:jc w:val="both"/>
        <w:rPr>
          <w:rFonts w:ascii="Palatino Linotype" w:hAnsi="Palatino Linotype" w:cs="Arial"/>
          <w:bCs/>
        </w:rPr>
      </w:pPr>
      <w:r w:rsidRPr="00C86CE3">
        <w:rPr>
          <w:rFonts w:ascii="Palatino Linotype" w:hAnsi="Palatino Linotype" w:cs="Arial"/>
          <w:bCs/>
          <w:color w:val="000000"/>
        </w:rPr>
        <w:t>En este sentido, los Lineamientos para la Integración del Informe Men</w:t>
      </w:r>
      <w:r w:rsidR="00117789" w:rsidRPr="00C86CE3">
        <w:rPr>
          <w:rFonts w:ascii="Palatino Linotype" w:hAnsi="Palatino Linotype" w:cs="Arial"/>
          <w:bCs/>
          <w:color w:val="000000"/>
        </w:rPr>
        <w:t xml:space="preserve">sual tanto de 2016, </w:t>
      </w:r>
      <w:r w:rsidRPr="00C86CE3">
        <w:rPr>
          <w:rFonts w:ascii="Palatino Linotype" w:hAnsi="Palatino Linotype" w:cs="Arial"/>
          <w:bCs/>
          <w:color w:val="000000"/>
        </w:rPr>
        <w:t>2017</w:t>
      </w:r>
      <w:r w:rsidR="00117789" w:rsidRPr="00C86CE3">
        <w:rPr>
          <w:rFonts w:ascii="Palatino Linotype" w:hAnsi="Palatino Linotype" w:cs="Arial"/>
          <w:bCs/>
          <w:color w:val="000000"/>
        </w:rPr>
        <w:t xml:space="preserve"> y 2018</w:t>
      </w:r>
      <w:r w:rsidRPr="00C86CE3">
        <w:rPr>
          <w:rFonts w:ascii="Palatino Linotype" w:hAnsi="Palatino Linotype" w:cs="Arial"/>
          <w:bCs/>
          <w:color w:val="000000"/>
        </w:rPr>
        <w:t xml:space="preserve">, </w:t>
      </w:r>
      <w:r w:rsidRPr="00C86CE3">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en el Disco 5, que se entregan a éste, siendo uno de ellos la información relativa a las </w:t>
      </w:r>
      <w:r w:rsidRPr="00C86CE3">
        <w:rPr>
          <w:rFonts w:ascii="Palatino Linotype" w:hAnsi="Palatino Linotype" w:cs="Arial"/>
          <w:i/>
        </w:rPr>
        <w:t xml:space="preserve">pólizas de ingresos, póliza de diario, póliza de egresos, póliza cheque y póliza de cuentas por pagar, </w:t>
      </w:r>
      <w:r w:rsidRPr="00C86CE3">
        <w:rPr>
          <w:rFonts w:ascii="Palatino Linotype" w:hAnsi="Palatino Linotype" w:cs="Arial"/>
        </w:rPr>
        <w:t>las cuales se encuentran contenidas dentro del Disco 5 “Imágenes Digitalizadas”, el cual guarda relación con el Disco 1 “Información Patrimonial (Contable y Administrativa) y para el Sistema Electrónico Auditor (Archivos txt)”, d</w:t>
      </w:r>
      <w:r w:rsidRPr="00C86CE3">
        <w:rPr>
          <w:rFonts w:ascii="Palatino Linotype" w:hAnsi="Palatino Linotype" w:cs="Arial"/>
          <w:bCs/>
        </w:rPr>
        <w:t xml:space="preserve">e tal manera que, dichos formatos constituyen un soporte documental de que la información solicitada por el hoy </w:t>
      </w:r>
      <w:r w:rsidRPr="00C86CE3">
        <w:rPr>
          <w:rFonts w:ascii="Palatino Linotype" w:hAnsi="Palatino Linotype" w:cs="Arial"/>
          <w:b/>
          <w:bCs/>
        </w:rPr>
        <w:t>RECURRENTE</w:t>
      </w:r>
      <w:r w:rsidRPr="00C86CE3">
        <w:rPr>
          <w:rFonts w:ascii="Palatino Linotype" w:hAnsi="Palatino Linotype" w:cs="Arial"/>
          <w:bCs/>
        </w:rPr>
        <w:t xml:space="preserve"> obra en los archivos del </w:t>
      </w:r>
      <w:r w:rsidRPr="00C86CE3">
        <w:rPr>
          <w:rFonts w:ascii="Palatino Linotype" w:hAnsi="Palatino Linotype" w:cs="Arial"/>
          <w:b/>
          <w:bCs/>
        </w:rPr>
        <w:lastRenderedPageBreak/>
        <w:t>SUJETO OBLIGADO</w:t>
      </w:r>
      <w:r w:rsidRPr="00C86CE3">
        <w:rPr>
          <w:rFonts w:ascii="Palatino Linotype" w:hAnsi="Palatino Linotype" w:cs="Arial"/>
          <w:bCs/>
        </w:rPr>
        <w:t>, insertando a manera de referencia, el formato correspondiente de 201</w:t>
      </w:r>
      <w:r w:rsidR="00117789" w:rsidRPr="00C86CE3">
        <w:rPr>
          <w:rFonts w:ascii="Palatino Linotype" w:hAnsi="Palatino Linotype" w:cs="Arial"/>
          <w:bCs/>
        </w:rPr>
        <w:t>8</w:t>
      </w:r>
      <w:r w:rsidRPr="00C86CE3">
        <w:rPr>
          <w:rFonts w:ascii="Palatino Linotype" w:hAnsi="Palatino Linotype" w:cs="Arial"/>
          <w:bCs/>
        </w:rPr>
        <w:t xml:space="preserve">: </w:t>
      </w:r>
    </w:p>
    <w:p w:rsidR="00C919F1" w:rsidRPr="00C86CE3" w:rsidRDefault="00C919F1" w:rsidP="00C919F1">
      <w:pPr>
        <w:spacing w:before="240" w:after="240" w:line="360" w:lineRule="auto"/>
        <w:jc w:val="both"/>
        <w:rPr>
          <w:rFonts w:ascii="Palatino Linotype" w:hAnsi="Palatino Linotype" w:cs="Arial"/>
          <w:bCs/>
          <w:color w:val="000000"/>
        </w:rPr>
      </w:pPr>
      <w:r w:rsidRPr="00C86CE3">
        <w:rPr>
          <w:rFonts w:ascii="Palatino Linotype" w:hAnsi="Palatino Linotype" w:cs="Arial"/>
          <w:bCs/>
          <w:noProof/>
          <w:color w:val="000000"/>
          <w:lang w:eastAsia="es-MX"/>
        </w:rPr>
        <w:drawing>
          <wp:inline distT="0" distB="0" distL="0" distR="0" wp14:anchorId="5B5DAEA1" wp14:editId="34013619">
            <wp:extent cx="5662608" cy="1138687"/>
            <wp:effectExtent l="38100" t="38100" r="33655" b="425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r w:rsidRPr="00C86CE3">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C919F1" w:rsidRPr="00C86CE3" w:rsidRDefault="00C919F1" w:rsidP="00C919F1">
      <w:pPr>
        <w:spacing w:before="240" w:after="240" w:line="360" w:lineRule="auto"/>
        <w:jc w:val="both"/>
        <w:rPr>
          <w:rFonts w:ascii="Palatino Linotype" w:hAnsi="Palatino Linotype" w:cs="Arial"/>
          <w:bCs/>
          <w:color w:val="000000"/>
        </w:rPr>
      </w:pPr>
      <w:r w:rsidRPr="00C86CE3">
        <w:rPr>
          <w:rFonts w:ascii="Palatino Linotype" w:hAnsi="Palatino Linotype" w:cs="Arial"/>
          <w:bCs/>
          <w:color w:val="000000"/>
        </w:rPr>
        <w:t xml:space="preserve">Sin ser óbice de lo mencionado, es de señalar que la información que es entregada al </w:t>
      </w:r>
      <w:r w:rsidRPr="00C86CE3">
        <w:rPr>
          <w:rFonts w:ascii="Palatino Linotype" w:hAnsi="Palatino Linotype" w:cs="Arial"/>
        </w:rPr>
        <w:t>Órgano Superior de Fiscalización del Estado de México,</w:t>
      </w:r>
      <w:r w:rsidRPr="00C86CE3">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referentes de manera enunciativa más no limitativa a las partidas de materiales de administración, emisión de documentos y artículos oficiales (2100); alimentos y utensilios (2200); materiales de construcción y </w:t>
      </w:r>
      <w:r w:rsidRPr="00C86CE3">
        <w:rPr>
          <w:rFonts w:ascii="Palatino Linotype" w:hAnsi="Palatino Linotype" w:cs="Arial"/>
          <w:bCs/>
          <w:color w:val="000000"/>
        </w:rPr>
        <w:lastRenderedPageBreak/>
        <w:t>reparación (2400); combustibles, lubricantes y aditivos(2600); materiales y suministros para seguridad (2800); servicios generales (3000); servicios de traslado y viáticos (3700); servicios oficiales (3800); ayudas sociales (4400); mobiliario y equipo de administración  (5100); mobiliario y equipo de administración (5100), entre otras</w:t>
      </w:r>
      <w:r w:rsidR="00117789" w:rsidRPr="00C86CE3">
        <w:rPr>
          <w:rFonts w:ascii="Palatino Linotype" w:hAnsi="Palatino Linotype" w:cs="Arial"/>
          <w:bCs/>
          <w:color w:val="000000"/>
        </w:rPr>
        <w:t>.</w:t>
      </w:r>
    </w:p>
    <w:p w:rsidR="00C919F1" w:rsidRPr="00C86CE3" w:rsidRDefault="00C919F1" w:rsidP="00C919F1">
      <w:pPr>
        <w:spacing w:before="240" w:after="240" w:line="360" w:lineRule="auto"/>
        <w:jc w:val="both"/>
        <w:rPr>
          <w:rFonts w:ascii="Palatino Linotype" w:hAnsi="Palatino Linotype" w:cs="Arial"/>
          <w:bCs/>
          <w:color w:val="000000"/>
        </w:rPr>
      </w:pPr>
      <w:r w:rsidRPr="00C86CE3">
        <w:rPr>
          <w:rFonts w:ascii="Palatino Linotype" w:hAnsi="Palatino Linotype" w:cs="Arial"/>
          <w:bCs/>
          <w:color w:val="000000"/>
        </w:rPr>
        <w:t>Cabe destacar, que el ordenamiento legal en cita refiere que todo registro contable y presupuestal d</w:t>
      </w:r>
      <w:r w:rsidRPr="00C86CE3">
        <w:rPr>
          <w:rFonts w:ascii="Palatino Linotype" w:hAnsi="Palatino Linotype" w:cs="Arial"/>
          <w:b/>
          <w:bCs/>
          <w:color w:val="000000"/>
        </w:rPr>
        <w:t>eberá estar soportado con los documentos comprobatorios originales</w:t>
      </w:r>
      <w:r w:rsidRPr="00C86CE3">
        <w:rPr>
          <w:rFonts w:ascii="Palatino Linotype" w:hAnsi="Palatino Linotype" w:cs="Arial"/>
          <w:bCs/>
          <w:color w:val="000000"/>
        </w:rPr>
        <w:t>, como lo son las facturas,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C919F1" w:rsidRPr="00C86CE3" w:rsidRDefault="00C919F1" w:rsidP="00C919F1">
      <w:pPr>
        <w:widowControl w:val="0"/>
        <w:autoSpaceDE w:val="0"/>
        <w:autoSpaceDN w:val="0"/>
        <w:adjustRightInd w:val="0"/>
        <w:spacing w:before="240" w:after="240" w:line="360" w:lineRule="auto"/>
        <w:jc w:val="both"/>
        <w:rPr>
          <w:rFonts w:ascii="Palatino Linotype" w:hAnsi="Palatino Linotype" w:cs="Arial"/>
        </w:rPr>
      </w:pPr>
      <w:r w:rsidRPr="00C86CE3">
        <w:rPr>
          <w:rFonts w:ascii="Palatino Linotype" w:hAnsi="Palatino Linotype" w:cs="Arial"/>
        </w:rPr>
        <w:t xml:space="preserve">Por otro lado, los Lineamientos de Control Financiero y Administrativo para las Entidades Fiscalizables Municipales del Estado de México, </w:t>
      </w:r>
      <w:r w:rsidR="004B65DF" w:rsidRPr="00C86CE3">
        <w:rPr>
          <w:rFonts w:ascii="Palatino Linotype" w:hAnsi="Palatino Linotype" w:cs="Arial"/>
        </w:rPr>
        <w:t>en sus numerales 4</w:t>
      </w:r>
      <w:r w:rsidR="00DC50C9" w:rsidRPr="00C86CE3">
        <w:rPr>
          <w:rFonts w:ascii="Palatino Linotype" w:hAnsi="Palatino Linotype" w:cs="Arial"/>
        </w:rPr>
        <w:t>, numeral 2</w:t>
      </w:r>
      <w:r w:rsidR="004B65DF" w:rsidRPr="00C86CE3">
        <w:rPr>
          <w:rFonts w:ascii="Palatino Linotype" w:hAnsi="Palatino Linotype" w:cs="Arial"/>
        </w:rPr>
        <w:t xml:space="preserve"> y 11 inciso </w:t>
      </w:r>
      <w:r w:rsidR="00DC50C9" w:rsidRPr="00C86CE3">
        <w:rPr>
          <w:rFonts w:ascii="Palatino Linotype" w:hAnsi="Palatino Linotype" w:cs="Arial"/>
        </w:rPr>
        <w:t>d</w:t>
      </w:r>
      <w:r w:rsidR="004B65DF" w:rsidRPr="00C86CE3">
        <w:rPr>
          <w:rFonts w:ascii="Palatino Linotype" w:hAnsi="Palatino Linotype" w:cs="Arial"/>
        </w:rPr>
        <w:t>)</w:t>
      </w:r>
      <w:r w:rsidRPr="00C86CE3">
        <w:rPr>
          <w:rFonts w:ascii="Palatino Linotype" w:hAnsi="Palatino Linotype" w:cs="Arial"/>
        </w:rPr>
        <w:t>, establecen en su literalidad:</w:t>
      </w:r>
    </w:p>
    <w:p w:rsidR="00C919F1" w:rsidRPr="00C86CE3" w:rsidRDefault="00C919F1" w:rsidP="00117789">
      <w:pPr>
        <w:widowControl w:val="0"/>
        <w:tabs>
          <w:tab w:val="left" w:pos="8222"/>
        </w:tabs>
        <w:autoSpaceDE w:val="0"/>
        <w:autoSpaceDN w:val="0"/>
        <w:adjustRightInd w:val="0"/>
        <w:ind w:left="851" w:right="902"/>
        <w:jc w:val="both"/>
        <w:rPr>
          <w:rFonts w:ascii="Palatino Linotype" w:hAnsi="Palatino Linotype" w:cs="Arial"/>
          <w:i/>
          <w:sz w:val="22"/>
          <w:szCs w:val="22"/>
        </w:rPr>
      </w:pPr>
      <w:r w:rsidRPr="00C86CE3">
        <w:rPr>
          <w:rFonts w:ascii="Palatino Linotype" w:hAnsi="Palatino Linotype" w:cs="Arial"/>
          <w:i/>
          <w:sz w:val="22"/>
          <w:szCs w:val="22"/>
        </w:rPr>
        <w:t>“</w:t>
      </w:r>
      <w:r w:rsidR="004B65DF" w:rsidRPr="00C86CE3">
        <w:rPr>
          <w:rFonts w:ascii="Palatino Linotype" w:hAnsi="Palatino Linotype" w:cs="Arial"/>
          <w:b/>
          <w:i/>
          <w:sz w:val="22"/>
          <w:szCs w:val="22"/>
        </w:rPr>
        <w:t>4.</w:t>
      </w:r>
      <w:r w:rsidRPr="00C86CE3">
        <w:rPr>
          <w:rFonts w:ascii="Palatino Linotype" w:hAnsi="Palatino Linotype" w:cs="Arial"/>
          <w:i/>
          <w:sz w:val="22"/>
          <w:szCs w:val="22"/>
        </w:rPr>
        <w:t xml:space="preserve"> Son sujetos de los presentes Lineamientos:</w:t>
      </w:r>
    </w:p>
    <w:p w:rsidR="004B65DF" w:rsidRPr="00C86CE3" w:rsidRDefault="004B65DF" w:rsidP="00117789">
      <w:pPr>
        <w:widowControl w:val="0"/>
        <w:tabs>
          <w:tab w:val="left" w:pos="8222"/>
        </w:tabs>
        <w:autoSpaceDE w:val="0"/>
        <w:autoSpaceDN w:val="0"/>
        <w:adjustRightInd w:val="0"/>
        <w:ind w:left="851" w:right="902"/>
        <w:jc w:val="both"/>
        <w:rPr>
          <w:rFonts w:ascii="Palatino Linotype" w:hAnsi="Palatino Linotype"/>
          <w:i/>
          <w:sz w:val="22"/>
          <w:szCs w:val="22"/>
        </w:rPr>
      </w:pPr>
      <w:r w:rsidRPr="00C86CE3">
        <w:rPr>
          <w:rFonts w:ascii="Palatino Linotype" w:hAnsi="Palatino Linotype"/>
          <w:i/>
          <w:sz w:val="22"/>
          <w:szCs w:val="22"/>
        </w:rPr>
        <w:t xml:space="preserve">2. </w:t>
      </w:r>
      <w:r w:rsidRPr="00C86CE3">
        <w:rPr>
          <w:rFonts w:ascii="Palatino Linotype" w:hAnsi="Palatino Linotype"/>
          <w:b/>
          <w:i/>
          <w:sz w:val="22"/>
          <w:szCs w:val="22"/>
        </w:rPr>
        <w:t>En los Organismos Operadores de Agua:</w:t>
      </w:r>
      <w:r w:rsidRPr="00C86CE3">
        <w:rPr>
          <w:rFonts w:ascii="Palatino Linotype" w:hAnsi="Palatino Linotype"/>
          <w:i/>
          <w:sz w:val="22"/>
          <w:szCs w:val="22"/>
        </w:rPr>
        <w:t xml:space="preserve"> </w:t>
      </w:r>
    </w:p>
    <w:p w:rsidR="004B65DF" w:rsidRPr="00C86CE3" w:rsidRDefault="004B65DF" w:rsidP="00117789">
      <w:pPr>
        <w:widowControl w:val="0"/>
        <w:tabs>
          <w:tab w:val="left" w:pos="8222"/>
        </w:tabs>
        <w:autoSpaceDE w:val="0"/>
        <w:autoSpaceDN w:val="0"/>
        <w:adjustRightInd w:val="0"/>
        <w:ind w:left="851" w:right="902"/>
        <w:jc w:val="both"/>
        <w:rPr>
          <w:rFonts w:ascii="Palatino Linotype" w:hAnsi="Palatino Linotype"/>
          <w:i/>
          <w:sz w:val="22"/>
          <w:szCs w:val="22"/>
        </w:rPr>
      </w:pPr>
      <w:r w:rsidRPr="00C86CE3">
        <w:rPr>
          <w:rFonts w:ascii="Palatino Linotype" w:hAnsi="Palatino Linotype"/>
          <w:i/>
          <w:sz w:val="22"/>
          <w:szCs w:val="22"/>
        </w:rPr>
        <w:t xml:space="preserve">2.1. Director General; </w:t>
      </w:r>
    </w:p>
    <w:p w:rsidR="004B65DF" w:rsidRPr="00C86CE3" w:rsidRDefault="004B65DF" w:rsidP="00117789">
      <w:pPr>
        <w:widowControl w:val="0"/>
        <w:tabs>
          <w:tab w:val="left" w:pos="8222"/>
        </w:tabs>
        <w:autoSpaceDE w:val="0"/>
        <w:autoSpaceDN w:val="0"/>
        <w:adjustRightInd w:val="0"/>
        <w:ind w:left="851" w:right="902"/>
        <w:jc w:val="both"/>
        <w:rPr>
          <w:rFonts w:ascii="Palatino Linotype" w:hAnsi="Palatino Linotype"/>
          <w:i/>
          <w:sz w:val="22"/>
          <w:szCs w:val="22"/>
        </w:rPr>
      </w:pPr>
      <w:r w:rsidRPr="00C86CE3">
        <w:rPr>
          <w:rFonts w:ascii="Palatino Linotype" w:hAnsi="Palatino Linotype"/>
          <w:i/>
          <w:sz w:val="22"/>
          <w:szCs w:val="22"/>
        </w:rPr>
        <w:t xml:space="preserve">2.2. Director de Finanzas o tesorero o sus equivalentes; </w:t>
      </w:r>
    </w:p>
    <w:p w:rsidR="004B65DF" w:rsidRPr="00C86CE3" w:rsidRDefault="004B65DF" w:rsidP="00117789">
      <w:pPr>
        <w:widowControl w:val="0"/>
        <w:tabs>
          <w:tab w:val="left" w:pos="8222"/>
        </w:tabs>
        <w:autoSpaceDE w:val="0"/>
        <w:autoSpaceDN w:val="0"/>
        <w:adjustRightInd w:val="0"/>
        <w:ind w:left="851" w:right="902"/>
        <w:jc w:val="both"/>
        <w:rPr>
          <w:rFonts w:ascii="Palatino Linotype" w:hAnsi="Palatino Linotype"/>
          <w:i/>
          <w:sz w:val="22"/>
          <w:szCs w:val="22"/>
        </w:rPr>
      </w:pPr>
      <w:r w:rsidRPr="00C86CE3">
        <w:rPr>
          <w:rFonts w:ascii="Palatino Linotype" w:hAnsi="Palatino Linotype"/>
          <w:i/>
          <w:sz w:val="22"/>
          <w:szCs w:val="22"/>
        </w:rPr>
        <w:t xml:space="preserve">2.3. Titular del órgano de control interno. </w:t>
      </w:r>
    </w:p>
    <w:p w:rsidR="00DC50C9" w:rsidRPr="00C86CE3" w:rsidRDefault="00DC50C9" w:rsidP="00117789">
      <w:pPr>
        <w:widowControl w:val="0"/>
        <w:tabs>
          <w:tab w:val="left" w:pos="8222"/>
        </w:tabs>
        <w:autoSpaceDE w:val="0"/>
        <w:autoSpaceDN w:val="0"/>
        <w:adjustRightInd w:val="0"/>
        <w:ind w:left="851" w:right="902"/>
        <w:jc w:val="both"/>
        <w:rPr>
          <w:rFonts w:ascii="Palatino Linotype" w:hAnsi="Palatino Linotype"/>
          <w:i/>
          <w:sz w:val="22"/>
          <w:szCs w:val="22"/>
        </w:rPr>
      </w:pPr>
    </w:p>
    <w:p w:rsidR="00C919F1" w:rsidRPr="00C86CE3" w:rsidRDefault="004B65DF" w:rsidP="00117789">
      <w:pPr>
        <w:widowControl w:val="0"/>
        <w:tabs>
          <w:tab w:val="left" w:pos="8222"/>
        </w:tabs>
        <w:autoSpaceDE w:val="0"/>
        <w:autoSpaceDN w:val="0"/>
        <w:adjustRightInd w:val="0"/>
        <w:ind w:left="851" w:right="902"/>
        <w:jc w:val="both"/>
        <w:rPr>
          <w:rFonts w:ascii="Palatino Linotype" w:hAnsi="Palatino Linotype"/>
          <w:i/>
          <w:sz w:val="22"/>
          <w:szCs w:val="22"/>
        </w:rPr>
      </w:pPr>
      <w:r w:rsidRPr="00C86CE3">
        <w:rPr>
          <w:rFonts w:ascii="Palatino Linotype" w:hAnsi="Palatino Linotype"/>
          <w:b/>
          <w:i/>
          <w:sz w:val="22"/>
          <w:szCs w:val="22"/>
        </w:rPr>
        <w:t>11</w:t>
      </w:r>
      <w:r w:rsidRPr="00C86CE3">
        <w:rPr>
          <w:rFonts w:ascii="Palatino Linotype" w:hAnsi="Palatino Linotype"/>
          <w:i/>
          <w:sz w:val="22"/>
          <w:szCs w:val="22"/>
        </w:rPr>
        <w:t>.</w:t>
      </w:r>
      <w:r w:rsidR="00C919F1" w:rsidRPr="00C86CE3">
        <w:rPr>
          <w:rFonts w:ascii="Palatino Linotype" w:hAnsi="Palatino Linotype"/>
          <w:i/>
          <w:sz w:val="22"/>
          <w:szCs w:val="22"/>
        </w:rPr>
        <w:t xml:space="preserve"> </w:t>
      </w:r>
      <w:r w:rsidR="00C919F1" w:rsidRPr="00C86CE3">
        <w:rPr>
          <w:rFonts w:ascii="Palatino Linotype" w:hAnsi="Palatino Linotype"/>
          <w:b/>
          <w:i/>
          <w:sz w:val="22"/>
          <w:szCs w:val="22"/>
        </w:rPr>
        <w:t>Los servidores públicos municipales, tendrán en el ámbito de su competencia, respecto de los presentes Lineamientos, las obligaciones siguientes</w:t>
      </w:r>
      <w:r w:rsidR="00C919F1" w:rsidRPr="00C86CE3">
        <w:rPr>
          <w:rFonts w:ascii="Palatino Linotype" w:hAnsi="Palatino Linotype"/>
          <w:i/>
          <w:sz w:val="22"/>
          <w:szCs w:val="22"/>
        </w:rPr>
        <w:t>:</w:t>
      </w:r>
    </w:p>
    <w:p w:rsidR="00DC50C9" w:rsidRPr="00C86CE3" w:rsidRDefault="00DC50C9" w:rsidP="00117789">
      <w:pPr>
        <w:widowControl w:val="0"/>
        <w:tabs>
          <w:tab w:val="left" w:pos="8222"/>
        </w:tabs>
        <w:autoSpaceDE w:val="0"/>
        <w:autoSpaceDN w:val="0"/>
        <w:adjustRightInd w:val="0"/>
        <w:ind w:left="851" w:right="902"/>
        <w:jc w:val="both"/>
        <w:rPr>
          <w:rFonts w:ascii="Palatino Linotype" w:hAnsi="Palatino Linotype"/>
          <w:i/>
          <w:sz w:val="22"/>
          <w:szCs w:val="22"/>
        </w:rPr>
      </w:pPr>
      <w:r w:rsidRPr="00C86CE3">
        <w:rPr>
          <w:rFonts w:ascii="Palatino Linotype" w:hAnsi="Palatino Linotype"/>
          <w:i/>
          <w:sz w:val="22"/>
          <w:szCs w:val="22"/>
        </w:rPr>
        <w:lastRenderedPageBreak/>
        <w:t>…</w:t>
      </w:r>
    </w:p>
    <w:p w:rsidR="00C919F1" w:rsidRPr="00C86CE3" w:rsidRDefault="00DC50C9" w:rsidP="00DC50C9">
      <w:pPr>
        <w:widowControl w:val="0"/>
        <w:tabs>
          <w:tab w:val="left" w:pos="8222"/>
        </w:tabs>
        <w:autoSpaceDE w:val="0"/>
        <w:autoSpaceDN w:val="0"/>
        <w:adjustRightInd w:val="0"/>
        <w:ind w:left="851" w:right="902"/>
        <w:jc w:val="both"/>
        <w:rPr>
          <w:rFonts w:ascii="Palatino Linotype" w:hAnsi="Palatino Linotype"/>
          <w:i/>
          <w:sz w:val="22"/>
          <w:szCs w:val="22"/>
        </w:rPr>
      </w:pPr>
      <w:r w:rsidRPr="00C86CE3">
        <w:rPr>
          <w:rFonts w:ascii="Palatino Linotype" w:hAnsi="Palatino Linotype"/>
          <w:b/>
          <w:i/>
          <w:sz w:val="22"/>
          <w:szCs w:val="22"/>
        </w:rPr>
        <w:t>d)</w:t>
      </w:r>
      <w:r w:rsidRPr="00C86CE3">
        <w:rPr>
          <w:rFonts w:ascii="Palatino Linotype" w:hAnsi="Palatino Linotype"/>
          <w:i/>
          <w:sz w:val="22"/>
          <w:szCs w:val="22"/>
        </w:rPr>
        <w:t xml:space="preserve"> El tesorero o equivalente debe verificar </w:t>
      </w:r>
      <w:r w:rsidRPr="00C86CE3">
        <w:rPr>
          <w:rFonts w:ascii="Palatino Linotype" w:hAnsi="Palatino Linotype"/>
          <w:b/>
          <w:i/>
          <w:sz w:val="22"/>
          <w:szCs w:val="22"/>
        </w:rPr>
        <w:t>que todas las pólizas de registro contable y presupuestal, se encuentren firmadas por quién las elaboró, revisó y autorizó,</w:t>
      </w:r>
      <w:r w:rsidRPr="00C86CE3">
        <w:rPr>
          <w:rFonts w:ascii="Palatino Linotype" w:hAnsi="Palatino Linotype"/>
          <w:i/>
          <w:sz w:val="22"/>
          <w:szCs w:val="22"/>
        </w:rPr>
        <w:t xml:space="preserve"> las cuáles deben estar </w:t>
      </w:r>
      <w:r w:rsidRPr="00C86CE3">
        <w:rPr>
          <w:rFonts w:ascii="Palatino Linotype" w:hAnsi="Palatino Linotype"/>
          <w:b/>
          <w:i/>
          <w:sz w:val="22"/>
          <w:szCs w:val="22"/>
        </w:rPr>
        <w:t>soportadas con la documentación original, justificativa, comprobatoria, suficiente, competente, pertinente y relevante</w:t>
      </w:r>
      <w:r w:rsidRPr="00C86CE3">
        <w:rPr>
          <w:rFonts w:ascii="Palatino Linotype" w:hAnsi="Palatino Linotype"/>
          <w:i/>
          <w:sz w:val="22"/>
          <w:szCs w:val="22"/>
        </w:rPr>
        <w:t>,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w:t>
      </w:r>
      <w:r w:rsidR="00C919F1" w:rsidRPr="00C86CE3">
        <w:rPr>
          <w:rFonts w:ascii="Palatino Linotype" w:hAnsi="Palatino Linotype"/>
          <w:i/>
          <w:sz w:val="22"/>
          <w:szCs w:val="22"/>
        </w:rPr>
        <w:t xml:space="preserve">.” </w:t>
      </w:r>
      <w:r w:rsidR="00C919F1" w:rsidRPr="00C86CE3">
        <w:rPr>
          <w:rFonts w:ascii="Palatino Linotype" w:hAnsi="Palatino Linotype" w:cs="Arial"/>
          <w:i/>
          <w:sz w:val="22"/>
          <w:szCs w:val="22"/>
        </w:rPr>
        <w:t>(Sic)</w:t>
      </w:r>
    </w:p>
    <w:p w:rsidR="00603FE8" w:rsidRPr="00C86CE3" w:rsidRDefault="00C919F1" w:rsidP="00603FE8">
      <w:pPr>
        <w:autoSpaceDE w:val="0"/>
        <w:autoSpaceDN w:val="0"/>
        <w:adjustRightInd w:val="0"/>
        <w:spacing w:before="240" w:after="240" w:line="360" w:lineRule="auto"/>
        <w:ind w:right="50"/>
        <w:jc w:val="both"/>
        <w:rPr>
          <w:rFonts w:ascii="Palatino Linotype" w:hAnsi="Palatino Linotype" w:cs="Arial"/>
        </w:rPr>
      </w:pPr>
      <w:r w:rsidRPr="00C86CE3">
        <w:rPr>
          <w:rFonts w:ascii="Palatino Linotype" w:hAnsi="Palatino Linotype" w:cs="Arial"/>
        </w:rPr>
        <w:t xml:space="preserve">De lo anterior se advierte que es responsabilidad del </w:t>
      </w:r>
      <w:r w:rsidR="00DC50C9" w:rsidRPr="00C86CE3">
        <w:rPr>
          <w:rFonts w:ascii="Palatino Linotype" w:hAnsi="Palatino Linotype" w:cs="Arial"/>
        </w:rPr>
        <w:t xml:space="preserve">Director de Finanzas o </w:t>
      </w:r>
      <w:r w:rsidRPr="00C86CE3">
        <w:rPr>
          <w:rFonts w:ascii="Palatino Linotype" w:hAnsi="Palatino Linotype" w:cs="Arial"/>
        </w:rPr>
        <w:t xml:space="preserve">Tesorero </w:t>
      </w:r>
      <w:r w:rsidR="00DC50C9" w:rsidRPr="00C86CE3">
        <w:rPr>
          <w:rFonts w:ascii="Palatino Linotype" w:hAnsi="Palatino Linotype" w:cs="Arial"/>
        </w:rPr>
        <w:t xml:space="preserve">del Organismo el </w:t>
      </w:r>
      <w:r w:rsidRPr="00C86CE3">
        <w:rPr>
          <w:rFonts w:ascii="Palatino Linotype" w:hAnsi="Palatino Linotype" w:cs="Arial"/>
        </w:rPr>
        <w:t>verificar que todas las pólizas de registro contable y presupuestal, se encuentren</w:t>
      </w:r>
      <w:r w:rsidR="00DC50C9" w:rsidRPr="00C86CE3">
        <w:rPr>
          <w:rFonts w:ascii="Palatino Linotype" w:hAnsi="Palatino Linotype" w:cs="Arial"/>
        </w:rPr>
        <w:t xml:space="preserve"> firmadas por quien las elaboró, </w:t>
      </w:r>
      <w:r w:rsidR="00603FE8" w:rsidRPr="00C86CE3">
        <w:rPr>
          <w:rFonts w:ascii="Palatino Linotype" w:hAnsi="Palatino Linotype" w:cs="Arial"/>
        </w:rPr>
        <w:t xml:space="preserve">así, resulta dable ordenar al </w:t>
      </w:r>
      <w:r w:rsidR="00603FE8" w:rsidRPr="00C86CE3">
        <w:rPr>
          <w:rFonts w:ascii="Palatino Linotype" w:hAnsi="Palatino Linotype" w:cs="Arial"/>
          <w:b/>
        </w:rPr>
        <w:t xml:space="preserve">SUJETO OBLIGADO </w:t>
      </w:r>
      <w:r w:rsidR="00603FE8" w:rsidRPr="00C86CE3">
        <w:rPr>
          <w:rFonts w:ascii="Palatino Linotype" w:hAnsi="Palatino Linotype" w:cs="Arial"/>
        </w:rPr>
        <w:t xml:space="preserve">haga entrega del documento o documentos en donde conste el número de </w:t>
      </w:r>
      <w:r w:rsidR="00603FE8" w:rsidRPr="00C86CE3">
        <w:rPr>
          <w:rFonts w:ascii="Palatino Linotype" w:eastAsia="Arial Unicode MS" w:hAnsi="Palatino Linotype" w:cs="Arial"/>
        </w:rPr>
        <w:t>brocales con tapa y boca de tormenta que adquirió durante el 1 de enero de 2016 al 6 de noviembre de 2018, así como el precio unitario con el Impuesto al Valor Agregado, nombre del proveedor y el lugar donde fueron colocadas, de ser procedente en versión pública.</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Ahora bien, toda vez que la información referida puede contener datos personales que pod</w:t>
      </w:r>
      <w:r w:rsidR="00775889" w:rsidRPr="00C86CE3">
        <w:rPr>
          <w:rFonts w:ascii="Palatino Linotype" w:hAnsi="Palatino Linotype"/>
        </w:rPr>
        <w:t>rían afectar a personas físicas;</w:t>
      </w:r>
      <w:r w:rsidRPr="00C86CE3">
        <w:rPr>
          <w:rFonts w:ascii="Palatino Linotype" w:hAnsi="Palatino Linotype"/>
        </w:rPr>
        <w:t xml:space="preserve"> </w:t>
      </w:r>
      <w:r w:rsidR="00775889" w:rsidRPr="00C86CE3">
        <w:rPr>
          <w:rFonts w:ascii="Palatino Linotype" w:hAnsi="Palatino Linotype"/>
        </w:rPr>
        <w:t xml:space="preserve">por lo que, </w:t>
      </w:r>
      <w:r w:rsidRPr="00C86CE3">
        <w:rPr>
          <w:rFonts w:ascii="Palatino Linotype" w:hAnsi="Palatino Linotype"/>
        </w:rPr>
        <w:t xml:space="preserve">se </w:t>
      </w:r>
      <w:r w:rsidRPr="00C86CE3">
        <w:rPr>
          <w:rFonts w:ascii="Palatino Linotype" w:hAnsi="Palatino Linotype"/>
          <w:b/>
        </w:rPr>
        <w:t>ORDENA</w:t>
      </w:r>
      <w:r w:rsidRPr="00C86CE3">
        <w:rPr>
          <w:rFonts w:ascii="Palatino Linotype" w:hAnsi="Palatino Linotype"/>
        </w:rPr>
        <w:t xml:space="preserve"> la entrega de las mismas en </w:t>
      </w:r>
      <w:r w:rsidRPr="00C86CE3">
        <w:rPr>
          <w:rFonts w:ascii="Palatino Linotype" w:hAnsi="Palatino Linotype"/>
          <w:b/>
        </w:rPr>
        <w:t>versión pública</w:t>
      </w:r>
      <w:r w:rsidRPr="00C86CE3">
        <w:rPr>
          <w:rFonts w:ascii="Palatino Linotype" w:hAnsi="Palatino Linotype"/>
        </w:rPr>
        <w:t xml:space="preserve">, lo cual es de señalar que no opera con la simple supresión de datos que se haga en los documentos de que se trate o con la simple decisión que tome el Servidor Público Habilitado o el Responsable de la Unidad de Transparencia del </w:t>
      </w:r>
      <w:r w:rsidRPr="00C86CE3">
        <w:rPr>
          <w:rFonts w:ascii="Palatino Linotype" w:hAnsi="Palatino Linotype"/>
          <w:b/>
        </w:rPr>
        <w:lastRenderedPageBreak/>
        <w:t>SUJETO OBLIGADO</w:t>
      </w:r>
      <w:r w:rsidRPr="00C86CE3">
        <w:rPr>
          <w:rFonts w:ascii="Palatino Linotype" w:hAnsi="Palatino Linotype"/>
        </w:rPr>
        <w:t>, sino que ello se deberá realizarse en términos de lo que disponen los artículos 3, fracciones IX, XX, XXI, XXXII, XLV; 6, 49</w:t>
      </w:r>
      <w:r w:rsidR="003B7758" w:rsidRPr="00C86CE3">
        <w:rPr>
          <w:rFonts w:ascii="Palatino Linotype" w:hAnsi="Palatino Linotype"/>
        </w:rPr>
        <w:t>,</w:t>
      </w:r>
      <w:r w:rsidRPr="00C86CE3">
        <w:rPr>
          <w:rFonts w:ascii="Palatino Linotype" w:hAnsi="Palatino Linotype"/>
        </w:rPr>
        <w:t xml:space="preserve"> fracción VIII, 53, fracción X, 59, fracción V, 137, 143</w:t>
      </w:r>
      <w:r w:rsidR="003B7758" w:rsidRPr="00C86CE3">
        <w:rPr>
          <w:rFonts w:ascii="Palatino Linotype" w:hAnsi="Palatino Linotype"/>
        </w:rPr>
        <w:t xml:space="preserve">, fracción I </w:t>
      </w:r>
      <w:r w:rsidRPr="00C86CE3">
        <w:rPr>
          <w:rFonts w:ascii="Palatino Linotype" w:hAnsi="Palatino Linotype"/>
        </w:rPr>
        <w:t>de la Ley de Transparencia y Acceso a la Información Pública del Estado de México y Municipios vigente, que son del tenor literal siguiente:</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“Artículo 3.</w:t>
      </w:r>
      <w:r w:rsidRPr="00C86CE3">
        <w:rPr>
          <w:rFonts w:ascii="Palatino Linotype" w:hAnsi="Palatino Linotype"/>
          <w:i/>
          <w:sz w:val="22"/>
          <w:szCs w:val="22"/>
        </w:rPr>
        <w:t xml:space="preserve"> Para los efectos de la presente Ley se entenderá por:</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IX. Datos personales:</w:t>
      </w:r>
      <w:r w:rsidRPr="00C86CE3">
        <w:rPr>
          <w:rFonts w:ascii="Palatino Linotype" w:hAnsi="Palatino Linotype"/>
          <w:i/>
          <w:sz w:val="22"/>
          <w:szCs w:val="22"/>
        </w:rPr>
        <w:t xml:space="preserve"> La información concerniente a una persona, identificada o identificable según lo dispuesto por la Ley de Protección de Datos Personales del Estado de México;</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XX. Información clasificada:</w:t>
      </w:r>
      <w:r w:rsidRPr="00C86CE3">
        <w:rPr>
          <w:rFonts w:ascii="Palatino Linotype" w:hAnsi="Palatino Linotype"/>
          <w:i/>
          <w:sz w:val="22"/>
          <w:szCs w:val="22"/>
        </w:rPr>
        <w:t xml:space="preserve"> Aquella considerada por la presente Ley como reservada o confidencial;</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 xml:space="preserve">XXI. Información confidencial: </w:t>
      </w:r>
      <w:r w:rsidRPr="00C86CE3">
        <w:rPr>
          <w:rFonts w:ascii="Palatino Linotype" w:hAnsi="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XXXII. Protección de Datos Personales:</w:t>
      </w:r>
      <w:r w:rsidRPr="00C86CE3">
        <w:rPr>
          <w:rFonts w:ascii="Palatino Linotype" w:hAnsi="Palatino Linotype"/>
          <w:i/>
          <w:sz w:val="22"/>
          <w:szCs w:val="22"/>
        </w:rPr>
        <w:t xml:space="preserve"> Derecho humano que tutela la privacidad de datos personales en poder de los sujetos obligados y sujetos particulares;</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XLV. Versión pública:</w:t>
      </w:r>
      <w:r w:rsidRPr="00C86CE3">
        <w:rPr>
          <w:rFonts w:ascii="Palatino Linotype" w:hAnsi="Palatino Linotype"/>
          <w:i/>
          <w:sz w:val="22"/>
          <w:szCs w:val="22"/>
        </w:rPr>
        <w:t xml:space="preserve"> Documento en el que se elimine, suprime o borra la información clasificada como reservada o confidencial para permitir su acceso.</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Artículo 6.</w:t>
      </w:r>
      <w:r w:rsidRPr="00C86CE3">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w:t>
      </w:r>
      <w:r w:rsidRPr="00C86CE3">
        <w:rPr>
          <w:rFonts w:ascii="Palatino Linotype" w:hAnsi="Palatino Linotype"/>
          <w:i/>
          <w:sz w:val="22"/>
          <w:szCs w:val="22"/>
        </w:rPr>
        <w:lastRenderedPageBreak/>
        <w:t>seguridad en el tratamiento y demás disposiciones en materia de datos personales, se deberá estar a lo dispuesto en las leyes de la materia.</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Artículo 49.</w:t>
      </w:r>
      <w:r w:rsidRPr="00C86CE3">
        <w:rPr>
          <w:rFonts w:ascii="Palatino Linotype" w:hAnsi="Palatino Linotype"/>
          <w:i/>
          <w:sz w:val="22"/>
          <w:szCs w:val="22"/>
        </w:rPr>
        <w:t xml:space="preserve"> Los Comités de Transparencia tendrán las siguientes atribuciones:</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VIII.</w:t>
      </w:r>
      <w:r w:rsidRPr="00C86CE3">
        <w:rPr>
          <w:rFonts w:ascii="Palatino Linotype" w:hAnsi="Palatino Linotype"/>
          <w:i/>
          <w:sz w:val="22"/>
          <w:szCs w:val="22"/>
        </w:rPr>
        <w:t xml:space="preserve"> Aprobar, modificar o revocar la clasificación de la información…”</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Artículo 53.</w:t>
      </w:r>
      <w:r w:rsidRPr="00C86CE3">
        <w:rPr>
          <w:rFonts w:ascii="Palatino Linotype" w:hAnsi="Palatino Linotype"/>
          <w:i/>
          <w:sz w:val="22"/>
          <w:szCs w:val="22"/>
        </w:rPr>
        <w:t xml:space="preserve"> Las Unidades de Transparencia tendrán las siguientes funciones:</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X.</w:t>
      </w:r>
      <w:r w:rsidRPr="00C86CE3">
        <w:rPr>
          <w:rFonts w:ascii="Palatino Linotype" w:hAnsi="Palatino Linotype"/>
          <w:i/>
          <w:sz w:val="22"/>
          <w:szCs w:val="22"/>
        </w:rPr>
        <w:t xml:space="preserve"> Presentar ante el Comité, el proyecto de clasificación de información…” </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Artículo 59.</w:t>
      </w:r>
      <w:r w:rsidRPr="00C86CE3">
        <w:rPr>
          <w:rFonts w:ascii="Palatino Linotype" w:hAnsi="Palatino Linotype"/>
          <w:i/>
          <w:sz w:val="22"/>
          <w:szCs w:val="22"/>
        </w:rPr>
        <w:t xml:space="preserve"> Los servidores públicos habilitados tendrán las funciones siguientes:</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V.</w:t>
      </w:r>
      <w:r w:rsidRPr="00C86CE3">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Artículo 137.</w:t>
      </w:r>
      <w:r w:rsidRPr="00C86CE3">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Artículo 143.</w:t>
      </w:r>
      <w:r w:rsidRPr="00C86CE3">
        <w:rPr>
          <w:rFonts w:ascii="Palatino Linotype" w:hAnsi="Palatino Linotype"/>
          <w:i/>
          <w:sz w:val="22"/>
          <w:szCs w:val="22"/>
        </w:rPr>
        <w:t xml:space="preserve"> Para los efectos de esta Ley se considera información confidencial, la clasificada como tal, de manera permanente, por su naturaleza, cuando:</w:t>
      </w:r>
    </w:p>
    <w:p w:rsidR="00F06322" w:rsidRPr="00C86CE3" w:rsidRDefault="00F06322" w:rsidP="00F06322">
      <w:pPr>
        <w:autoSpaceDE w:val="0"/>
        <w:autoSpaceDN w:val="0"/>
        <w:adjustRightInd w:val="0"/>
        <w:spacing w:before="120" w:after="120"/>
        <w:ind w:left="851" w:right="902"/>
        <w:jc w:val="both"/>
        <w:rPr>
          <w:rFonts w:ascii="Palatino Linotype" w:hAnsi="Palatino Linotype"/>
          <w:i/>
          <w:sz w:val="22"/>
          <w:szCs w:val="22"/>
        </w:rPr>
      </w:pPr>
      <w:r w:rsidRPr="00C86CE3">
        <w:rPr>
          <w:rFonts w:ascii="Palatino Linotype" w:hAnsi="Palatino Linotype"/>
          <w:b/>
          <w:i/>
          <w:sz w:val="22"/>
          <w:szCs w:val="22"/>
        </w:rPr>
        <w:t>I.</w:t>
      </w:r>
      <w:r w:rsidRPr="00C86CE3">
        <w:rPr>
          <w:rFonts w:ascii="Palatino Linotype" w:hAnsi="Palatino Linotype"/>
          <w:i/>
          <w:sz w:val="22"/>
          <w:szCs w:val="22"/>
        </w:rPr>
        <w:t xml:space="preserve"> Se refiera a la información privada y los datos personales concernientes a una persona física o jurídico colectiva identificada o identificable…</w:t>
      </w:r>
      <w:r w:rsidRPr="00C86CE3">
        <w:rPr>
          <w:rFonts w:ascii="Palatino Linotype" w:hAnsi="Palatino Linotype"/>
          <w:b/>
          <w:i/>
          <w:sz w:val="22"/>
          <w:szCs w:val="22"/>
        </w:rPr>
        <w:t>”</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C86CE3">
        <w:rPr>
          <w:rFonts w:ascii="Palatino Linotype" w:hAnsi="Palatino Linotype"/>
          <w:b/>
        </w:rPr>
        <w:t>SUJETO OBLIGADO</w:t>
      </w:r>
      <w:r w:rsidRPr="00C86CE3">
        <w:rPr>
          <w:rFonts w:ascii="Palatino Linotype" w:hAnsi="Palatino Linotype"/>
        </w:rPr>
        <w:t xml:space="preserve">, teniendo el deber los primeros de ellos de presentar ante la Unidad de Transparencia la propuesta de la clasificación de la información, para que luego, ésta la presente ante al Comité de </w:t>
      </w:r>
      <w:r w:rsidRPr="00C86CE3">
        <w:rPr>
          <w:rFonts w:ascii="Palatino Linotype" w:hAnsi="Palatino Linotype"/>
        </w:rPr>
        <w:lastRenderedPageBreak/>
        <w:t>Transparencia, de así resultar procedente el proyecto de clasificación de la información y finalmente sea éste último quien apruebe, modifique o revoque la clasificación de la información solicitada.</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b/>
          <w:i/>
          <w:sz w:val="22"/>
          <w:szCs w:val="22"/>
        </w:rPr>
        <w:t>“Artículo 149.</w:t>
      </w:r>
      <w:r w:rsidRPr="00C86CE3">
        <w:rPr>
          <w:rFonts w:ascii="Palatino Linotype" w:hAnsi="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C86CE3">
        <w:rPr>
          <w:rFonts w:ascii="Palatino Linotype" w:hAnsi="Palatino Linotype"/>
          <w:b/>
          <w:i/>
          <w:sz w:val="22"/>
          <w:szCs w:val="22"/>
        </w:rPr>
        <w:t>”</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 xml:space="preserve">Es decir, </w:t>
      </w:r>
      <w:r w:rsidRPr="00C86CE3">
        <w:rPr>
          <w:rFonts w:ascii="Palatino Linotype" w:hAnsi="Palatino Linotype"/>
          <w:b/>
        </w:rPr>
        <w:t>EL SUJETO OBLIGADO</w:t>
      </w:r>
      <w:r w:rsidRPr="00C86CE3">
        <w:rPr>
          <w:rFonts w:ascii="Palatino Linotype" w:hAnsi="Palatino Linotype"/>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w:t>
      </w:r>
      <w:r w:rsidR="003B7758" w:rsidRPr="00C86CE3">
        <w:rPr>
          <w:rFonts w:ascii="Palatino Linotype" w:hAnsi="Palatino Linotype"/>
        </w:rPr>
        <w:t>e la Materia en su artículo 143</w:t>
      </w:r>
      <w:r w:rsidRPr="00C86CE3">
        <w:rPr>
          <w:rFonts w:ascii="Palatino Linotype" w:hAnsi="Palatino Linotype"/>
        </w:rPr>
        <w:t xml:space="preserve"> ya que</w:t>
      </w:r>
      <w:r w:rsidR="003B7758" w:rsidRPr="00C86CE3">
        <w:rPr>
          <w:rFonts w:ascii="Palatino Linotype" w:hAnsi="Palatino Linotype"/>
        </w:rPr>
        <w:t>,</w:t>
      </w:r>
      <w:r w:rsidRPr="00C86CE3">
        <w:rPr>
          <w:rFonts w:ascii="Palatino Linotype" w:hAnsi="Palatino Linotype"/>
        </w:rPr>
        <w:t xml:space="preserv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w:t>
      </w:r>
      <w:r w:rsidR="0054618C" w:rsidRPr="00C86CE3">
        <w:rPr>
          <w:rFonts w:ascii="Palatino Linotype" w:hAnsi="Palatino Linotype"/>
        </w:rPr>
        <w:t>, los Códigos QR que sean exclusivamente de particulares.</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En cuanto al Registro Federal de Contribuyentes</w:t>
      </w:r>
      <w:r w:rsidR="003B7758" w:rsidRPr="00C86CE3">
        <w:rPr>
          <w:rFonts w:ascii="Palatino Linotype" w:hAnsi="Palatino Linotype"/>
        </w:rPr>
        <w:t xml:space="preserve"> de personas físicas</w:t>
      </w:r>
      <w:r w:rsidRPr="00C86CE3">
        <w:rPr>
          <w:rFonts w:ascii="Palatino Linotype" w:hAnsi="Palatino Linotype"/>
        </w:rPr>
        <w:t xml:space="preserve"> constituye un dato personal, ya que para su obtención es necesario acreditar ante la autoridad fiscal previamente la identidad de la persona, su fecha de nacimiento, entre otros aspectos.</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Lo anterior es compartido por el Instituto Nacional de Transparencia, Acceso a la Información y Protección de Datos Personales (INAI), a través del Criterio 19/2017, el cual es del tenor literal siguiente:</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b/>
          <w:i/>
          <w:sz w:val="22"/>
          <w:szCs w:val="22"/>
        </w:rPr>
        <w:lastRenderedPageBreak/>
        <w:t>“</w:t>
      </w:r>
      <w:r w:rsidRPr="00C86CE3">
        <w:rPr>
          <w:rFonts w:ascii="Palatino Linotype" w:hAnsi="Palatino Linotype"/>
          <w:i/>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Resoluciones:</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w:t>
      </w:r>
      <w:r w:rsidRPr="00C86CE3">
        <w:rPr>
          <w:rFonts w:ascii="Palatino Linotype" w:hAnsi="Palatino Linotype"/>
          <w:i/>
          <w:sz w:val="22"/>
          <w:szCs w:val="22"/>
        </w:rPr>
        <w:tab/>
        <w:t>RRA 0189/17. Morena. 08 de febrero de 2017. Por unanimidad. Comisionado Ponente Joel Salas Suárez.</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w:t>
      </w:r>
      <w:r w:rsidRPr="00C86CE3">
        <w:rPr>
          <w:rFonts w:ascii="Palatino Linotype" w:hAnsi="Palatino Linotype"/>
          <w:i/>
          <w:sz w:val="22"/>
          <w:szCs w:val="22"/>
        </w:rPr>
        <w:tab/>
        <w:t xml:space="preserve">RRA 0677/17. Universidad Nacional Autónoma de México. 08 de marzo de 2017. Por unanimidad. Comisionado Ponente Rosendoevgueni Monterrey Chepov. </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w:t>
      </w:r>
      <w:r w:rsidRPr="00C86CE3">
        <w:rPr>
          <w:rFonts w:ascii="Palatino Linotype" w:hAnsi="Palatino Linotype"/>
          <w:i/>
          <w:sz w:val="22"/>
          <w:szCs w:val="22"/>
        </w:rPr>
        <w:tab/>
        <w:t>RRA 1564/17. Tribunal Electoral del Poder Judicial de la Federación. 26 de abril de 2017. Por unanimidad. Comisionado Ponente Oscar Mauricio Guerra Ford.</w:t>
      </w:r>
      <w:r w:rsidRPr="00C86CE3">
        <w:rPr>
          <w:rFonts w:ascii="Palatino Linotype" w:hAnsi="Palatino Linotype"/>
          <w:b/>
          <w:i/>
          <w:sz w:val="22"/>
          <w:szCs w:val="22"/>
        </w:rPr>
        <w:t>”</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C86CE3">
        <w:rPr>
          <w:rFonts w:ascii="Palatino Linotype" w:hAnsi="Palatino Linotype"/>
          <w:b/>
        </w:rPr>
        <w:t>a una persona física</w:t>
      </w:r>
      <w:r w:rsidR="003B7758" w:rsidRPr="00C86CE3">
        <w:rPr>
          <w:rFonts w:ascii="Palatino Linotype" w:hAnsi="Palatino Linotype"/>
        </w:rPr>
        <w:t xml:space="preserve"> identificada e identificable; sin embargo, para las personas jurídico colectivas, es un dato que </w:t>
      </w:r>
      <w:r w:rsidR="003B7758" w:rsidRPr="00C86CE3">
        <w:rPr>
          <w:rFonts w:ascii="Palatino Linotype" w:hAnsi="Palatino Linotype"/>
          <w:b/>
        </w:rPr>
        <w:t xml:space="preserve">EL SUJETO OBLIGADO </w:t>
      </w:r>
      <w:r w:rsidR="003B7758" w:rsidRPr="00C86CE3">
        <w:rPr>
          <w:rFonts w:ascii="Palatino Linotype" w:hAnsi="Palatino Linotype"/>
        </w:rPr>
        <w:t>deberá dejar visible.</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lastRenderedPageBreak/>
        <w:t xml:space="preserve">Argumento que es compartido por el Instituto Nacional de Transparencia, Acceso a la Información y Protección de Datos Personales (INAI), conforme al criterio número 18/2017, el cual refiere: </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Resoluciones:</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w:t>
      </w:r>
      <w:r w:rsidRPr="00C86CE3">
        <w:rPr>
          <w:rFonts w:ascii="Palatino Linotype" w:hAnsi="Palatino Linotype"/>
          <w:i/>
          <w:sz w:val="22"/>
          <w:szCs w:val="22"/>
        </w:rPr>
        <w:tab/>
        <w:t>RRA 3995/16. Secretaría de la Defensa Nacional. 1 de febrero de 2017. Por unanimidad. Comisionado Ponente Rosendoevgueni Monterrey Chepov.</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w:t>
      </w:r>
      <w:r w:rsidRPr="00C86CE3">
        <w:rPr>
          <w:rFonts w:ascii="Palatino Linotype" w:hAnsi="Palatino Linotype"/>
          <w:i/>
          <w:sz w:val="22"/>
          <w:szCs w:val="22"/>
        </w:rPr>
        <w:tab/>
        <w:t xml:space="preserve">RRA 0937/17. Senado de la República. 15 de marzo de 2017. Por unanimidad. Comisionada Ponente Ximena Puente de la Mora. </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w:t>
      </w:r>
      <w:r w:rsidRPr="00C86CE3">
        <w:rPr>
          <w:rFonts w:ascii="Palatino Linotype" w:hAnsi="Palatino Linotype"/>
          <w:i/>
          <w:sz w:val="22"/>
          <w:szCs w:val="22"/>
        </w:rPr>
        <w:tab/>
        <w:t>RRA 0478/17. Secretaría de Relaciones Exteriores. 26 de abril de 2017. Por unanimidad. Comisionada Ponente Areli Cano Guadiana.”</w:t>
      </w:r>
    </w:p>
    <w:p w:rsidR="0054618C" w:rsidRPr="00C86CE3" w:rsidRDefault="0054618C" w:rsidP="0054618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86CE3">
        <w:rPr>
          <w:rFonts w:ascii="Palatino Linotype" w:hAnsi="Palatino Linotype" w:cs="Arial"/>
        </w:rPr>
        <w:t xml:space="preserve">Respecto de los </w:t>
      </w:r>
      <w:r w:rsidRPr="00C86CE3">
        <w:rPr>
          <w:rFonts w:ascii="Palatino Linotype" w:hAnsi="Palatino Linotype" w:cs="Arial"/>
          <w:b/>
        </w:rPr>
        <w:t>Códigos Bidimensionales</w:t>
      </w:r>
      <w:r w:rsidRPr="00C86CE3">
        <w:rPr>
          <w:rFonts w:ascii="Palatino Linotype" w:hAnsi="Palatino Linotype" w:cs="Arial"/>
        </w:rPr>
        <w:t xml:space="preserve">, también denominados </w:t>
      </w:r>
      <w:r w:rsidRPr="00C86CE3">
        <w:rPr>
          <w:rFonts w:ascii="Palatino Linotype" w:hAnsi="Palatino Linotype" w:cs="Arial"/>
          <w:b/>
        </w:rPr>
        <w:t>Códigos QR</w:t>
      </w:r>
      <w:r w:rsidRPr="00C86CE3">
        <w:rPr>
          <w:rFonts w:ascii="Palatino Linotype" w:hAnsi="Palatino Linotype" w:cs="Arial"/>
        </w:rPr>
        <w:t xml:space="preserve">, se trata de barras en dos dimensiones que al igual a los códigos de barras o códigos unidimensionales, son </w:t>
      </w:r>
      <w:r w:rsidRPr="00C86CE3">
        <w:rPr>
          <w:rFonts w:ascii="Palatino Linotype" w:hAnsi="Palatino Linotype"/>
        </w:rPr>
        <w:t>utilizados</w:t>
      </w:r>
      <w:r w:rsidRPr="00C86CE3">
        <w:rPr>
          <w:rFonts w:ascii="Palatino Linotype" w:hAnsi="Palatino Linotype" w:cs="Arial"/>
        </w:rPr>
        <w:t xml:space="preserve"> para almacenar diversos tipos datos de manera codificada, los cuales a través de lectores de acceso libre para cualquier persona, pueden obtenerse los datos que en éstos se contienen, v. gr. la </w:t>
      </w:r>
      <w:r w:rsidRPr="00C86CE3">
        <w:rPr>
          <w:rFonts w:ascii="Palatino Linotype" w:hAnsi="Palatino Linotype" w:cs="Arial"/>
          <w:b/>
        </w:rPr>
        <w:t>Clave Única de Registro de Población</w:t>
      </w:r>
      <w:r w:rsidRPr="00C86CE3">
        <w:rPr>
          <w:rFonts w:ascii="Palatino Linotype" w:hAnsi="Palatino Linotype" w:cs="Arial"/>
        </w:rPr>
        <w:t xml:space="preserve"> (CURP), tratándose de personas físicas.</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F06322" w:rsidRPr="00C86CE3" w:rsidRDefault="00F06322" w:rsidP="00F06322">
      <w:pPr>
        <w:autoSpaceDE w:val="0"/>
        <w:autoSpaceDN w:val="0"/>
        <w:adjustRightInd w:val="0"/>
        <w:spacing w:before="240" w:after="240" w:line="360" w:lineRule="auto"/>
        <w:ind w:right="50"/>
        <w:jc w:val="both"/>
        <w:rPr>
          <w:rFonts w:ascii="Palatino Linotype" w:hAnsi="Palatino Linotype"/>
        </w:rPr>
      </w:pPr>
      <w:r w:rsidRPr="00C86CE3">
        <w:rPr>
          <w:rFonts w:ascii="Palatino Linotype" w:hAnsi="Palatino Linotype"/>
        </w:rPr>
        <w:t>Es por esta razón que se debe omitir el o los números de cuentas bancarias de particulares únicamente, en las versiones públicas que de las</w:t>
      </w:r>
      <w:r w:rsidR="003B7758" w:rsidRPr="00C86CE3">
        <w:rPr>
          <w:rFonts w:ascii="Palatino Linotype" w:hAnsi="Palatino Linotype"/>
        </w:rPr>
        <w:t xml:space="preserve"> facturas </w:t>
      </w:r>
      <w:r w:rsidRPr="00C86CE3">
        <w:rPr>
          <w:rFonts w:ascii="Palatino Linotype" w:hAnsi="Palatino Linotype"/>
        </w:rPr>
        <w:t xml:space="preserve">se hagan, para </w:t>
      </w:r>
      <w:r w:rsidRPr="00C86CE3">
        <w:rPr>
          <w:rFonts w:ascii="Palatino Linotype" w:hAnsi="Palatino Linotype"/>
        </w:rPr>
        <w:lastRenderedPageBreak/>
        <w:t>ser entregadas a</w:t>
      </w:r>
      <w:r w:rsidR="00775889" w:rsidRPr="00C86CE3">
        <w:rPr>
          <w:rFonts w:ascii="Palatino Linotype" w:hAnsi="Palatino Linotype"/>
        </w:rPr>
        <w:t xml:space="preserve"> </w:t>
      </w:r>
      <w:r w:rsidR="00775889" w:rsidRPr="00C86CE3">
        <w:rPr>
          <w:rFonts w:ascii="Palatino Linotype" w:hAnsi="Palatino Linotype"/>
          <w:b/>
        </w:rPr>
        <w:t>LA</w:t>
      </w:r>
      <w:r w:rsidR="00A90F1D" w:rsidRPr="00C86CE3">
        <w:rPr>
          <w:rFonts w:ascii="Palatino Linotype" w:hAnsi="Palatino Linotype"/>
          <w:b/>
        </w:rPr>
        <w:t xml:space="preserve"> RECURRENTE</w:t>
      </w:r>
      <w:r w:rsidRPr="00C86CE3">
        <w:rPr>
          <w:rFonts w:ascii="Palatino Linotype" w:hAnsi="Palatino Linotype"/>
        </w:rPr>
        <w:t xml:space="preserve"> no así de los Sujetos Obligados, ya que estas son públicas. </w:t>
      </w:r>
    </w:p>
    <w:p w:rsidR="00F06322" w:rsidRPr="00C86CE3" w:rsidRDefault="00F06322" w:rsidP="00F06322">
      <w:pPr>
        <w:autoSpaceDE w:val="0"/>
        <w:autoSpaceDN w:val="0"/>
        <w:adjustRightInd w:val="0"/>
        <w:spacing w:before="240" w:after="240" w:line="360" w:lineRule="auto"/>
        <w:ind w:right="51"/>
        <w:jc w:val="both"/>
        <w:rPr>
          <w:rFonts w:ascii="Palatino Linotype" w:eastAsia="Arial Unicode MS" w:hAnsi="Palatino Linotype" w:cs="Arial"/>
        </w:rPr>
      </w:pPr>
      <w:r w:rsidRPr="00C86CE3">
        <w:rPr>
          <w:rFonts w:ascii="Palatino Linotype" w:hAnsi="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F06322" w:rsidRPr="00C86CE3" w:rsidRDefault="00F06322" w:rsidP="00F06322">
      <w:pPr>
        <w:autoSpaceDE w:val="0"/>
        <w:autoSpaceDN w:val="0"/>
        <w:adjustRightInd w:val="0"/>
        <w:ind w:left="851" w:right="899"/>
        <w:jc w:val="center"/>
        <w:rPr>
          <w:rFonts w:ascii="Palatino Linotype" w:hAnsi="Palatino Linotype"/>
          <w:b/>
          <w:i/>
          <w:sz w:val="22"/>
          <w:szCs w:val="22"/>
        </w:rPr>
      </w:pPr>
      <w:r w:rsidRPr="00C86CE3">
        <w:rPr>
          <w:rFonts w:ascii="Palatino Linotype" w:hAnsi="Palatino Linotype"/>
          <w:b/>
          <w:i/>
          <w:sz w:val="22"/>
          <w:szCs w:val="22"/>
        </w:rPr>
        <w:t>“CRITERIO 10/13</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C86CE3">
        <w:rPr>
          <w:rFonts w:ascii="Palatino Linotype" w:hAnsi="Palatino Linotype"/>
          <w:b/>
          <w:i/>
          <w:sz w:val="22"/>
          <w:szCs w:val="22"/>
        </w:rPr>
        <w:t>”</w:t>
      </w:r>
    </w:p>
    <w:p w:rsidR="00F06322" w:rsidRPr="00C86CE3" w:rsidRDefault="00F06322" w:rsidP="00F06322">
      <w:pPr>
        <w:autoSpaceDE w:val="0"/>
        <w:autoSpaceDN w:val="0"/>
        <w:adjustRightInd w:val="0"/>
        <w:ind w:left="851" w:right="899"/>
        <w:jc w:val="center"/>
        <w:rPr>
          <w:rFonts w:ascii="Palatino Linotype" w:hAnsi="Palatino Linotype"/>
          <w:b/>
          <w:i/>
          <w:sz w:val="22"/>
          <w:szCs w:val="22"/>
        </w:rPr>
      </w:pPr>
    </w:p>
    <w:p w:rsidR="00F06322" w:rsidRPr="00C86CE3" w:rsidRDefault="00F06322" w:rsidP="00F06322">
      <w:pPr>
        <w:autoSpaceDE w:val="0"/>
        <w:autoSpaceDN w:val="0"/>
        <w:adjustRightInd w:val="0"/>
        <w:ind w:left="851" w:right="899"/>
        <w:jc w:val="center"/>
        <w:rPr>
          <w:rFonts w:ascii="Palatino Linotype" w:hAnsi="Palatino Linotype"/>
          <w:b/>
          <w:i/>
          <w:sz w:val="22"/>
          <w:szCs w:val="22"/>
        </w:rPr>
      </w:pPr>
      <w:r w:rsidRPr="00C86CE3">
        <w:rPr>
          <w:rFonts w:ascii="Palatino Linotype" w:hAnsi="Palatino Linotype"/>
          <w:b/>
          <w:i/>
          <w:sz w:val="22"/>
          <w:szCs w:val="22"/>
        </w:rPr>
        <w:t>Criterio 11/2017</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lastRenderedPageBreak/>
        <w:t>Resoluciones:</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 RRA 0448/16. NOTIMEX, Agencia de Noticias del Estado Mexicano. 24 de agosto de 2016. Por unanimidad. Comisionado Ponente Joel Salas Suárez.</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 RRA 2787/16. Colegio de Postgraduados. 01 de noviembre de 2016. Por unanimidad. Comisionado Ponente Francisco Javier Acuña Llamas.</w:t>
      </w:r>
    </w:p>
    <w:p w:rsidR="00F06322" w:rsidRPr="00C86CE3" w:rsidRDefault="00F06322" w:rsidP="00F06322">
      <w:pPr>
        <w:autoSpaceDE w:val="0"/>
        <w:autoSpaceDN w:val="0"/>
        <w:adjustRightInd w:val="0"/>
        <w:ind w:left="851" w:right="899"/>
        <w:jc w:val="both"/>
        <w:rPr>
          <w:rFonts w:ascii="Palatino Linotype" w:hAnsi="Palatino Linotype"/>
          <w:i/>
          <w:sz w:val="22"/>
          <w:szCs w:val="22"/>
        </w:rPr>
      </w:pPr>
      <w:r w:rsidRPr="00C86CE3">
        <w:rPr>
          <w:rFonts w:ascii="Palatino Linotype" w:hAnsi="Palatino Linotype"/>
          <w:i/>
          <w:sz w:val="22"/>
          <w:szCs w:val="22"/>
        </w:rPr>
        <w:t> RRA 4756/16. Instituto Mexicano del Seguro Social. 08 de febrero de 2017. Por unanimidad. Comisionado Ponente Oscar Mauricio Guerra Ford.</w:t>
      </w:r>
    </w:p>
    <w:p w:rsidR="008653E6" w:rsidRPr="00C86CE3" w:rsidRDefault="00F06322" w:rsidP="00F06322">
      <w:pPr>
        <w:autoSpaceDE w:val="0"/>
        <w:autoSpaceDN w:val="0"/>
        <w:adjustRightInd w:val="0"/>
        <w:spacing w:before="240" w:after="240" w:line="360" w:lineRule="auto"/>
        <w:ind w:right="51"/>
        <w:jc w:val="both"/>
        <w:rPr>
          <w:rFonts w:ascii="Palatino Linotype" w:eastAsia="Arial Unicode MS" w:hAnsi="Palatino Linotype" w:cs="Arial"/>
        </w:rPr>
      </w:pPr>
      <w:r w:rsidRPr="00C86CE3">
        <w:rPr>
          <w:rFonts w:ascii="Palatino Linotype" w:hAnsi="Palatino Linotype"/>
        </w:rPr>
        <w:t xml:space="preserve">En mérito de lo expuesto en líneas anteriores, este Órgano Garante considera que resultan fundadas las razones o motivos o razones </w:t>
      </w:r>
      <w:r w:rsidR="0076145D" w:rsidRPr="00C86CE3">
        <w:rPr>
          <w:rFonts w:ascii="Palatino Linotype" w:hAnsi="Palatino Linotype"/>
        </w:rPr>
        <w:t>de inconformidad esgrimidos por</w:t>
      </w:r>
      <w:r w:rsidRPr="00C86CE3">
        <w:rPr>
          <w:rFonts w:ascii="Palatino Linotype" w:hAnsi="Palatino Linotype"/>
          <w:b/>
        </w:rPr>
        <w:t xml:space="preserve"> </w:t>
      </w:r>
      <w:r w:rsidR="00A90F1D" w:rsidRPr="00C86CE3">
        <w:rPr>
          <w:rFonts w:ascii="Palatino Linotype" w:hAnsi="Palatino Linotype"/>
          <w:b/>
        </w:rPr>
        <w:t>LA RECURRENTE</w:t>
      </w:r>
      <w:r w:rsidR="0054618C" w:rsidRPr="00C86CE3">
        <w:rPr>
          <w:rFonts w:ascii="Palatino Linotype" w:hAnsi="Palatino Linotype"/>
        </w:rPr>
        <w:t xml:space="preserve">  en su medio</w:t>
      </w:r>
      <w:r w:rsidRPr="00C86CE3">
        <w:rPr>
          <w:rFonts w:ascii="Palatino Linotype" w:hAnsi="Palatino Linotype"/>
        </w:rPr>
        <w:t xml:space="preserve"> de impugnación, por ello con fundamento en el artículo 186</w:t>
      </w:r>
      <w:r w:rsidR="0054618C" w:rsidRPr="00C86CE3">
        <w:rPr>
          <w:rFonts w:ascii="Palatino Linotype" w:hAnsi="Palatino Linotype"/>
        </w:rPr>
        <w:t>,</w:t>
      </w:r>
      <w:r w:rsidRPr="00C86CE3">
        <w:rPr>
          <w:rFonts w:ascii="Palatino Linotype" w:hAnsi="Palatino Linotype"/>
        </w:rPr>
        <w:t xml:space="preserve"> fracción III de la Ley de Transparencia y Acceso a la Información Pública del Estado de México y Municipios, resulta procedente </w:t>
      </w:r>
      <w:r w:rsidRPr="00C86CE3">
        <w:rPr>
          <w:rFonts w:ascii="Palatino Linotype" w:hAnsi="Palatino Linotype"/>
          <w:b/>
        </w:rPr>
        <w:t>ORDENA</w:t>
      </w:r>
      <w:r w:rsidR="008653E6" w:rsidRPr="00C86CE3">
        <w:rPr>
          <w:rFonts w:ascii="Palatino Linotype" w:hAnsi="Palatino Linotype"/>
          <w:b/>
        </w:rPr>
        <w:t>R</w:t>
      </w:r>
      <w:r w:rsidRPr="00C86CE3">
        <w:rPr>
          <w:rFonts w:ascii="Palatino Linotype" w:hAnsi="Palatino Linotype"/>
        </w:rPr>
        <w:t xml:space="preserve"> al </w:t>
      </w:r>
      <w:r w:rsidRPr="00C86CE3">
        <w:rPr>
          <w:rFonts w:ascii="Palatino Linotype" w:hAnsi="Palatino Linotype"/>
          <w:b/>
        </w:rPr>
        <w:t>SUJETO OBLIGADO</w:t>
      </w:r>
      <w:r w:rsidR="008653E6" w:rsidRPr="00C86CE3">
        <w:rPr>
          <w:rFonts w:ascii="Palatino Linotype" w:hAnsi="Palatino Linotype"/>
        </w:rPr>
        <w:t xml:space="preserve"> a entregar a</w:t>
      </w:r>
      <w:r w:rsidRPr="00C86CE3">
        <w:rPr>
          <w:rFonts w:ascii="Palatino Linotype" w:hAnsi="Palatino Linotype"/>
        </w:rPr>
        <w:t xml:space="preserve"> </w:t>
      </w:r>
      <w:r w:rsidR="008653E6" w:rsidRPr="00C86CE3">
        <w:rPr>
          <w:rFonts w:ascii="Palatino Linotype" w:hAnsi="Palatino Linotype"/>
          <w:b/>
        </w:rPr>
        <w:t>LA</w:t>
      </w:r>
      <w:r w:rsidR="00A90F1D" w:rsidRPr="00C86CE3">
        <w:rPr>
          <w:rFonts w:ascii="Palatino Linotype" w:hAnsi="Palatino Linotype"/>
          <w:b/>
        </w:rPr>
        <w:t xml:space="preserve"> RECURRENTE</w:t>
      </w:r>
      <w:r w:rsidRPr="00C86CE3">
        <w:rPr>
          <w:rFonts w:ascii="Palatino Linotype" w:hAnsi="Palatino Linotype"/>
        </w:rPr>
        <w:t xml:space="preserve"> vía </w:t>
      </w:r>
      <w:r w:rsidRPr="00C86CE3">
        <w:rPr>
          <w:rFonts w:ascii="Palatino Linotype" w:hAnsi="Palatino Linotype"/>
          <w:b/>
        </w:rPr>
        <w:t>EL SAIMEX</w:t>
      </w:r>
      <w:r w:rsidRPr="00C86CE3">
        <w:rPr>
          <w:rFonts w:ascii="Palatino Linotype" w:hAnsi="Palatino Linotype"/>
        </w:rPr>
        <w:t xml:space="preserve">, en versión pública el documento o documentos en los que consten el expediente completo del proceso adquisitivo correspondiente a la compra de </w:t>
      </w:r>
      <w:r w:rsidR="008653E6" w:rsidRPr="00C86CE3">
        <w:rPr>
          <w:rFonts w:ascii="Palatino Linotype" w:hAnsi="Palatino Linotype" w:cs="Arial"/>
        </w:rPr>
        <w:t xml:space="preserve">los </w:t>
      </w:r>
      <w:r w:rsidR="008653E6" w:rsidRPr="00C86CE3">
        <w:rPr>
          <w:rFonts w:ascii="Palatino Linotype" w:eastAsia="Arial Unicode MS" w:hAnsi="Palatino Linotype" w:cs="Arial"/>
        </w:rPr>
        <w:t>brocales con tapa y boca de tormenta durante el periodo correspondiente al 1 de enero de 2016 al 6 de noviembre de 2018, en las cuales se puede advertir el precio unitario con el impuesto al valor agregado, nombre del proveedor y la ubicación donde se instalaron.</w:t>
      </w:r>
    </w:p>
    <w:p w:rsidR="008653E6" w:rsidRPr="00C86CE3" w:rsidRDefault="008653E6" w:rsidP="008653E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86CE3">
        <w:rPr>
          <w:rFonts w:ascii="Palatino Linotype" w:eastAsia="Calibri" w:hAnsi="Palatino Linotype" w:cs="Arial"/>
        </w:rPr>
        <w:t xml:space="preserve">En consecuencia, ante la falta de respuesta </w:t>
      </w:r>
      <w:r w:rsidR="0054618C" w:rsidRPr="00C86CE3">
        <w:rPr>
          <w:rFonts w:ascii="Palatino Linotype" w:eastAsia="Calibri" w:hAnsi="Palatino Linotype" w:cs="Arial"/>
        </w:rPr>
        <w:t xml:space="preserve">dado el requerimiento que se consideró improcedente </w:t>
      </w:r>
      <w:r w:rsidRPr="00C86CE3">
        <w:rPr>
          <w:rFonts w:ascii="Palatino Linotype" w:eastAsia="Calibri" w:hAnsi="Palatino Linotype" w:cs="Arial"/>
        </w:rPr>
        <w:t xml:space="preserve">a la solicitud de información, así como al actualizarse los supuestos del numeral 179, fracción VII de la Ley de la materia, previamente referido, se considera </w:t>
      </w:r>
      <w:r w:rsidRPr="00C86CE3">
        <w:rPr>
          <w:rFonts w:ascii="Palatino Linotype" w:eastAsia="Calibri" w:hAnsi="Palatino Linotype" w:cs="Arial"/>
        </w:rPr>
        <w:lastRenderedPageBreak/>
        <w:t xml:space="preserve">que las razones o motivos de inconformidad resultan </w:t>
      </w:r>
      <w:r w:rsidRPr="00C86CE3">
        <w:rPr>
          <w:rFonts w:ascii="Palatino Linotype" w:eastAsia="Calibri" w:hAnsi="Palatino Linotype" w:cs="Arial"/>
          <w:b/>
        </w:rPr>
        <w:t>fundadas</w:t>
      </w:r>
      <w:r w:rsidR="0054618C" w:rsidRPr="00C86CE3">
        <w:rPr>
          <w:rFonts w:ascii="Palatino Linotype" w:eastAsia="Calibri" w:hAnsi="Palatino Linotype" w:cs="Arial"/>
        </w:rPr>
        <w:t>, por lo que es procedente</w:t>
      </w:r>
      <w:r w:rsidRPr="00C86CE3">
        <w:rPr>
          <w:rFonts w:ascii="Palatino Linotype" w:eastAsia="Calibri" w:hAnsi="Palatino Linotype" w:cs="Arial"/>
        </w:rPr>
        <w:t xml:space="preserve"> </w:t>
      </w:r>
      <w:r w:rsidRPr="00C86CE3">
        <w:rPr>
          <w:rFonts w:ascii="Palatino Linotype" w:eastAsia="Calibri" w:hAnsi="Palatino Linotype" w:cs="Arial"/>
          <w:b/>
        </w:rPr>
        <w:t>ORDENAR</w:t>
      </w:r>
      <w:r w:rsidRPr="00C86CE3">
        <w:rPr>
          <w:rFonts w:ascii="Palatino Linotype" w:eastAsia="Calibri" w:hAnsi="Palatino Linotype" w:cs="Arial"/>
        </w:rPr>
        <w:t xml:space="preserve"> al </w:t>
      </w:r>
      <w:r w:rsidRPr="00C86CE3">
        <w:rPr>
          <w:rFonts w:ascii="Palatino Linotype" w:eastAsia="Calibri" w:hAnsi="Palatino Linotype" w:cs="Arial"/>
          <w:b/>
        </w:rPr>
        <w:t>SUJETO OBLIGADO</w:t>
      </w:r>
      <w:r w:rsidRPr="00C86CE3">
        <w:rPr>
          <w:rFonts w:ascii="Palatino Linotype" w:eastAsia="Calibri" w:hAnsi="Palatino Linotype" w:cs="Arial"/>
        </w:rPr>
        <w:t xml:space="preserve"> la entrega de la información</w:t>
      </w:r>
      <w:r w:rsidR="0054618C" w:rsidRPr="00C86CE3">
        <w:rPr>
          <w:rFonts w:ascii="Palatino Linotype" w:eastAsia="Calibri" w:hAnsi="Palatino Linotype" w:cs="Arial"/>
        </w:rPr>
        <w:t xml:space="preserve"> requerida </w:t>
      </w:r>
      <w:r w:rsidRPr="00C86CE3">
        <w:rPr>
          <w:rFonts w:ascii="Palatino Linotype" w:eastAsia="Calibri" w:hAnsi="Palatino Linotype" w:cs="Arial"/>
        </w:rPr>
        <w:t>que ha quedado precisada, ello con apego a los principios del derecho de acceso a la información y derivado del estudio realizado en el presente Considerando</w:t>
      </w:r>
      <w:r w:rsidR="00C86CE3" w:rsidRPr="00C86CE3">
        <w:rPr>
          <w:rFonts w:ascii="Palatino Linotype" w:eastAsia="Calibri" w:hAnsi="Palatino Linotype" w:cs="Arial"/>
        </w:rPr>
        <w:t>, aunado a ello, y dada la improcedencia del requerimiento en términos del ordinal 190 de la Ley de la materia, se determina ordenar dar vista al Titular de la Contraloría Interna y Órgano de Control y Vigilancia de este Instituto a efecto de que determine lo conducente.</w:t>
      </w:r>
      <w:r w:rsidRPr="00C86CE3">
        <w:rPr>
          <w:rFonts w:ascii="Palatino Linotype" w:eastAsia="Calibri" w:hAnsi="Palatino Linotype" w:cs="Arial"/>
        </w:rPr>
        <w:t>.</w:t>
      </w:r>
    </w:p>
    <w:p w:rsidR="00F06322" w:rsidRPr="00C86CE3" w:rsidRDefault="00F06322" w:rsidP="00F06322">
      <w:pPr>
        <w:autoSpaceDE w:val="0"/>
        <w:autoSpaceDN w:val="0"/>
        <w:adjustRightInd w:val="0"/>
        <w:spacing w:before="240" w:after="240" w:line="360" w:lineRule="auto"/>
        <w:ind w:right="51"/>
        <w:jc w:val="both"/>
        <w:rPr>
          <w:rFonts w:ascii="Palatino Linotype" w:eastAsia="Arial Unicode MS" w:hAnsi="Palatino Linotype" w:cs="Arial"/>
        </w:rPr>
      </w:pPr>
      <w:r w:rsidRPr="00C86CE3">
        <w:rPr>
          <w:rFonts w:ascii="Palatino Linotype" w:hAnsi="Palatino Linotype" w:cs="Arial"/>
          <w:lang w:eastAsia="es-MX"/>
        </w:rPr>
        <w:t xml:space="preserve">Así, con fundamento en lo prescrito en los artículos 5 </w:t>
      </w:r>
      <w:r w:rsidRPr="00C86CE3">
        <w:rPr>
          <w:rFonts w:ascii="Palatino Linotype" w:eastAsia="Calibri" w:hAnsi="Palatino Linotype" w:cs="Arial"/>
          <w:lang w:eastAsia="es-MX"/>
        </w:rPr>
        <w:t>párrafos vigésimo, vigésimo primero y vigésimo segundo, fracciones IV y V</w:t>
      </w:r>
      <w:r w:rsidRPr="00C86CE3">
        <w:rPr>
          <w:rFonts w:ascii="Palatino Linotype" w:hAnsi="Palatino Linotype" w:cs="Arial"/>
          <w:lang w:eastAsia="es-MX"/>
        </w:rPr>
        <w:t xml:space="preserve"> de la Constitución Política del Estado Libre y Soberano de México; 2</w:t>
      </w:r>
      <w:r w:rsidR="0054618C" w:rsidRPr="00C86CE3">
        <w:rPr>
          <w:rFonts w:ascii="Palatino Linotype" w:hAnsi="Palatino Linotype" w:cs="Arial"/>
          <w:lang w:eastAsia="es-MX"/>
        </w:rPr>
        <w:t>,</w:t>
      </w:r>
      <w:r w:rsidRPr="00C86CE3">
        <w:rPr>
          <w:rFonts w:ascii="Palatino Linotype" w:hAnsi="Palatino Linotype" w:cs="Arial"/>
          <w:lang w:eastAsia="es-MX"/>
        </w:rPr>
        <w:t xml:space="preserve"> fracción II, 29, 36</w:t>
      </w:r>
      <w:r w:rsidR="0054618C" w:rsidRPr="00C86CE3">
        <w:rPr>
          <w:rFonts w:ascii="Palatino Linotype" w:hAnsi="Palatino Linotype" w:cs="Arial"/>
          <w:lang w:eastAsia="es-MX"/>
        </w:rPr>
        <w:t>,</w:t>
      </w:r>
      <w:r w:rsidRPr="00C86CE3">
        <w:rPr>
          <w:rFonts w:ascii="Palatino Linotype" w:hAnsi="Palatino Linotype" w:cs="Arial"/>
          <w:lang w:eastAsia="es-MX"/>
        </w:rPr>
        <w:t xml:space="preserve"> fracciones I y II, 176, 178, 179, 181, 185</w:t>
      </w:r>
      <w:r w:rsidR="0054618C" w:rsidRPr="00C86CE3">
        <w:rPr>
          <w:rFonts w:ascii="Palatino Linotype" w:hAnsi="Palatino Linotype" w:cs="Arial"/>
          <w:lang w:eastAsia="es-MX"/>
        </w:rPr>
        <w:t>,</w:t>
      </w:r>
      <w:r w:rsidRPr="00C86CE3">
        <w:rPr>
          <w:rFonts w:ascii="Palatino Linotype" w:hAnsi="Palatino Linotype" w:cs="Arial"/>
          <w:lang w:eastAsia="es-MX"/>
        </w:rPr>
        <w:t xml:space="preserve"> fracción I, 186 y 188 de la Ley de Transparencia y Acceso a la Información Pública del Estado de México y Municipios, este Pleno: </w:t>
      </w:r>
    </w:p>
    <w:p w:rsidR="00F06322" w:rsidRPr="00C86CE3" w:rsidRDefault="00F06322" w:rsidP="00F06322">
      <w:pPr>
        <w:spacing w:before="240" w:after="240" w:line="360" w:lineRule="auto"/>
        <w:jc w:val="center"/>
        <w:rPr>
          <w:rFonts w:ascii="Palatino Linotype" w:hAnsi="Palatino Linotype"/>
          <w:b/>
          <w:sz w:val="28"/>
          <w:szCs w:val="28"/>
          <w:lang w:val="pt-BR"/>
        </w:rPr>
      </w:pPr>
      <w:r w:rsidRPr="00C86CE3">
        <w:rPr>
          <w:rFonts w:ascii="Palatino Linotype" w:hAnsi="Palatino Linotype"/>
          <w:b/>
          <w:sz w:val="28"/>
          <w:szCs w:val="28"/>
          <w:lang w:val="pt-BR"/>
        </w:rPr>
        <w:t>R E S U E L V E</w:t>
      </w:r>
    </w:p>
    <w:p w:rsidR="00F06322" w:rsidRPr="00C86CE3" w:rsidRDefault="00F06322" w:rsidP="00F06322">
      <w:pPr>
        <w:spacing w:before="240" w:after="240" w:line="360" w:lineRule="auto"/>
        <w:jc w:val="both"/>
        <w:rPr>
          <w:rFonts w:ascii="Palatino Linotype" w:hAnsi="Palatino Linotype" w:cs="Arial"/>
        </w:rPr>
      </w:pPr>
      <w:r w:rsidRPr="00C86CE3">
        <w:rPr>
          <w:rFonts w:ascii="Palatino Linotype" w:hAnsi="Palatino Linotype" w:cs="Arial"/>
          <w:b/>
          <w:sz w:val="28"/>
          <w:szCs w:val="28"/>
        </w:rPr>
        <w:t>PRIMERO</w:t>
      </w:r>
      <w:r w:rsidRPr="00C86CE3">
        <w:rPr>
          <w:rFonts w:ascii="Palatino Linotype" w:hAnsi="Palatino Linotype" w:cs="Arial"/>
          <w:sz w:val="28"/>
          <w:szCs w:val="28"/>
        </w:rPr>
        <w:t>.</w:t>
      </w:r>
      <w:r w:rsidRPr="00C86CE3">
        <w:rPr>
          <w:rFonts w:ascii="Palatino Linotype" w:hAnsi="Palatino Linotype" w:cs="Arial"/>
        </w:rPr>
        <w:t xml:space="preserve"> Resultan </w:t>
      </w:r>
      <w:r w:rsidRPr="00C86CE3">
        <w:rPr>
          <w:rFonts w:ascii="Palatino Linotype" w:hAnsi="Palatino Linotype" w:cs="Arial"/>
          <w:b/>
        </w:rPr>
        <w:t>fundadas</w:t>
      </w:r>
      <w:r w:rsidRPr="00C86CE3">
        <w:rPr>
          <w:rFonts w:ascii="Palatino Linotype" w:hAnsi="Palatino Linotype" w:cs="Arial"/>
        </w:rPr>
        <w:t xml:space="preserve"> las razones o motivos de inconformidad planteadas por </w:t>
      </w:r>
      <w:r w:rsidR="00A90F1D" w:rsidRPr="00C86CE3">
        <w:rPr>
          <w:rFonts w:ascii="Palatino Linotype" w:hAnsi="Palatino Linotype" w:cs="Arial"/>
          <w:b/>
        </w:rPr>
        <w:t>LA RECURRENTE</w:t>
      </w:r>
      <w:r w:rsidRPr="00C86CE3">
        <w:rPr>
          <w:rFonts w:ascii="Palatino Linotype" w:hAnsi="Palatino Linotype" w:cs="Arial"/>
        </w:rPr>
        <w:t xml:space="preserve"> en el recurso de revisión, en términos del Considerando </w:t>
      </w:r>
      <w:r w:rsidRPr="00C86CE3">
        <w:rPr>
          <w:rFonts w:ascii="Palatino Linotype" w:hAnsi="Palatino Linotype" w:cs="Arial"/>
          <w:b/>
        </w:rPr>
        <w:t>QUINTO</w:t>
      </w:r>
      <w:r w:rsidRPr="00C86CE3">
        <w:rPr>
          <w:rFonts w:ascii="Palatino Linotype" w:hAnsi="Palatino Linotype" w:cs="Arial"/>
        </w:rPr>
        <w:t xml:space="preserve"> de la presente resolución.</w:t>
      </w:r>
    </w:p>
    <w:p w:rsidR="00F06322" w:rsidRPr="00C86CE3" w:rsidRDefault="00F06322" w:rsidP="00F06322">
      <w:pPr>
        <w:spacing w:before="240" w:after="240" w:line="360" w:lineRule="auto"/>
        <w:jc w:val="both"/>
        <w:rPr>
          <w:rFonts w:ascii="Palatino Linotype" w:hAnsi="Palatino Linotype" w:cs="Arial"/>
        </w:rPr>
      </w:pPr>
      <w:r w:rsidRPr="00C86CE3">
        <w:rPr>
          <w:rFonts w:ascii="Palatino Linotype" w:hAnsi="Palatino Linotype" w:cs="Arial"/>
          <w:b/>
          <w:sz w:val="28"/>
          <w:szCs w:val="28"/>
        </w:rPr>
        <w:lastRenderedPageBreak/>
        <w:t>SEGUNDO</w:t>
      </w:r>
      <w:r w:rsidRPr="00C86CE3">
        <w:rPr>
          <w:rFonts w:ascii="Palatino Linotype" w:hAnsi="Palatino Linotype" w:cs="Arial"/>
          <w:sz w:val="28"/>
          <w:szCs w:val="28"/>
        </w:rPr>
        <w:t>.</w:t>
      </w:r>
      <w:r w:rsidRPr="00C86CE3">
        <w:rPr>
          <w:rFonts w:ascii="Palatino Linotype" w:hAnsi="Palatino Linotype" w:cs="Arial"/>
        </w:rPr>
        <w:t xml:space="preserve"> Se </w:t>
      </w:r>
      <w:r w:rsidRPr="00C86CE3">
        <w:rPr>
          <w:rFonts w:ascii="Palatino Linotype" w:hAnsi="Palatino Linotype" w:cs="Arial"/>
          <w:b/>
        </w:rPr>
        <w:t>ORDENA</w:t>
      </w:r>
      <w:r w:rsidR="0054618C" w:rsidRPr="00C86CE3">
        <w:rPr>
          <w:rFonts w:ascii="Palatino Linotype" w:hAnsi="Palatino Linotype" w:cs="Arial"/>
        </w:rPr>
        <w:t xml:space="preserve"> al</w:t>
      </w:r>
      <w:r w:rsidRPr="00C86CE3">
        <w:rPr>
          <w:rFonts w:ascii="Palatino Linotype" w:hAnsi="Palatino Linotype" w:cs="Arial"/>
          <w:b/>
        </w:rPr>
        <w:t xml:space="preserve"> SUJETO OBLIGADO </w:t>
      </w:r>
      <w:r w:rsidRPr="00C86CE3">
        <w:rPr>
          <w:rFonts w:ascii="Palatino Linotype" w:hAnsi="Palatino Linotype" w:cs="Arial"/>
        </w:rPr>
        <w:t xml:space="preserve">que atienda la solicitud de información </w:t>
      </w:r>
      <w:r w:rsidRPr="00C86CE3">
        <w:rPr>
          <w:rFonts w:ascii="Palatino Linotype" w:hAnsi="Palatino Linotype" w:cs="Arial"/>
          <w:b/>
          <w:lang w:eastAsia="es-MX"/>
        </w:rPr>
        <w:t xml:space="preserve">00018/OASHUIXQUI/IP/2018 </w:t>
      </w:r>
      <w:r w:rsidRPr="00C86CE3">
        <w:rPr>
          <w:rFonts w:ascii="Palatino Linotype" w:hAnsi="Palatino Linotype" w:cs="Arial"/>
        </w:rPr>
        <w:t xml:space="preserve">y en términos del Considerando </w:t>
      </w:r>
      <w:r w:rsidRPr="00C86CE3">
        <w:rPr>
          <w:rFonts w:ascii="Palatino Linotype" w:hAnsi="Palatino Linotype" w:cs="Arial"/>
          <w:b/>
        </w:rPr>
        <w:t>QUINTO</w:t>
      </w:r>
      <w:r w:rsidRPr="00C86CE3">
        <w:rPr>
          <w:rFonts w:ascii="Palatino Linotype" w:hAnsi="Palatino Linotype" w:cs="Arial"/>
        </w:rPr>
        <w:t xml:space="preserve"> de la presente resolución, haga entregue a </w:t>
      </w:r>
      <w:r w:rsidRPr="00C86CE3">
        <w:rPr>
          <w:rFonts w:ascii="Palatino Linotype" w:hAnsi="Palatino Linotype" w:cs="Arial"/>
          <w:b/>
        </w:rPr>
        <w:t>LA</w:t>
      </w:r>
      <w:r w:rsidR="00A90F1D" w:rsidRPr="00C86CE3">
        <w:rPr>
          <w:rFonts w:ascii="Palatino Linotype" w:hAnsi="Palatino Linotype" w:cs="Arial"/>
          <w:b/>
        </w:rPr>
        <w:t xml:space="preserve"> RECURRENTE</w:t>
      </w:r>
      <w:r w:rsidR="0054618C" w:rsidRPr="00C86CE3">
        <w:rPr>
          <w:rFonts w:ascii="Palatino Linotype" w:hAnsi="Palatino Linotype" w:cs="Arial"/>
          <w:b/>
        </w:rPr>
        <w:t>,</w:t>
      </w:r>
      <w:r w:rsidRPr="00C86CE3">
        <w:rPr>
          <w:rFonts w:ascii="Palatino Linotype" w:hAnsi="Palatino Linotype" w:cs="Arial"/>
          <w:b/>
        </w:rPr>
        <w:t xml:space="preserve"> </w:t>
      </w:r>
      <w:r w:rsidRPr="00C86CE3">
        <w:rPr>
          <w:rFonts w:ascii="Palatino Linotype" w:hAnsi="Palatino Linotype" w:cs="Arial"/>
        </w:rPr>
        <w:t xml:space="preserve">vía </w:t>
      </w:r>
      <w:r w:rsidRPr="00C86CE3">
        <w:rPr>
          <w:rFonts w:ascii="Palatino Linotype" w:hAnsi="Palatino Linotype" w:cs="Arial"/>
          <w:b/>
        </w:rPr>
        <w:t>SAIMEX</w:t>
      </w:r>
      <w:r w:rsidRPr="00C86CE3">
        <w:rPr>
          <w:rFonts w:ascii="Palatino Linotype" w:hAnsi="Palatino Linotype" w:cs="Arial"/>
        </w:rPr>
        <w:t>,</w:t>
      </w:r>
      <w:r w:rsidRPr="00C86CE3">
        <w:rPr>
          <w:rFonts w:ascii="Palatino Linotype" w:hAnsi="Palatino Linotype" w:cs="Arial"/>
          <w:b/>
        </w:rPr>
        <w:t xml:space="preserve"> </w:t>
      </w:r>
      <w:r w:rsidR="00B27504" w:rsidRPr="00C86CE3">
        <w:rPr>
          <w:rFonts w:ascii="Palatino Linotype" w:hAnsi="Palatino Linotype" w:cs="Arial"/>
        </w:rPr>
        <w:t xml:space="preserve">de ser procedente </w:t>
      </w:r>
      <w:r w:rsidRPr="00C86CE3">
        <w:rPr>
          <w:rFonts w:ascii="Palatino Linotype" w:hAnsi="Palatino Linotype" w:cs="Arial"/>
        </w:rPr>
        <w:t xml:space="preserve">en </w:t>
      </w:r>
      <w:r w:rsidRPr="00C86CE3">
        <w:rPr>
          <w:rFonts w:ascii="Palatino Linotype" w:hAnsi="Palatino Linotype" w:cs="Arial"/>
          <w:b/>
        </w:rPr>
        <w:t>versión pública</w:t>
      </w:r>
      <w:r w:rsidRPr="00C86CE3">
        <w:rPr>
          <w:rFonts w:ascii="Palatino Linotype" w:hAnsi="Palatino Linotype" w:cs="Arial"/>
        </w:rPr>
        <w:t>, del documento o documentos en donde conste</w:t>
      </w:r>
      <w:r w:rsidR="00A90F1D" w:rsidRPr="00C86CE3">
        <w:rPr>
          <w:rFonts w:ascii="Palatino Linotype" w:hAnsi="Palatino Linotype" w:cs="Arial"/>
        </w:rPr>
        <w:t>:</w:t>
      </w:r>
    </w:p>
    <w:p w:rsidR="00A90F1D" w:rsidRPr="00C86CE3" w:rsidRDefault="00F06322" w:rsidP="00A90F1D">
      <w:pPr>
        <w:spacing w:before="240" w:after="240"/>
        <w:ind w:left="851" w:right="899"/>
        <w:jc w:val="both"/>
        <w:rPr>
          <w:rFonts w:ascii="Palatino Linotype" w:eastAsia="Calibri" w:hAnsi="Palatino Linotype" w:cs="Arial"/>
          <w:i/>
          <w:sz w:val="22"/>
          <w:szCs w:val="22"/>
        </w:rPr>
      </w:pPr>
      <w:r w:rsidRPr="00C86CE3">
        <w:rPr>
          <w:rFonts w:ascii="Palatino Linotype" w:eastAsia="Calibri" w:hAnsi="Palatino Linotype" w:cs="Arial"/>
          <w:b/>
          <w:i/>
          <w:sz w:val="22"/>
          <w:szCs w:val="22"/>
        </w:rPr>
        <w:t>“</w:t>
      </w:r>
      <w:r w:rsidR="00E80A5B" w:rsidRPr="00C86CE3">
        <w:rPr>
          <w:rFonts w:ascii="Palatino Linotype" w:eastAsia="Calibri" w:hAnsi="Palatino Linotype" w:cs="Arial"/>
          <w:i/>
          <w:sz w:val="22"/>
          <w:szCs w:val="22"/>
        </w:rPr>
        <w:t>La cantidad</w:t>
      </w:r>
      <w:r w:rsidR="0054618C" w:rsidRPr="00C86CE3">
        <w:rPr>
          <w:rFonts w:ascii="Palatino Linotype" w:eastAsia="Calibri" w:hAnsi="Palatino Linotype" w:cs="Arial"/>
          <w:i/>
          <w:sz w:val="22"/>
          <w:szCs w:val="22"/>
        </w:rPr>
        <w:t xml:space="preserve"> de </w:t>
      </w:r>
      <w:r w:rsidR="00A90F1D" w:rsidRPr="00C86CE3">
        <w:rPr>
          <w:rFonts w:ascii="Palatino Linotype" w:eastAsia="Calibri" w:hAnsi="Palatino Linotype" w:cs="Arial"/>
          <w:i/>
          <w:sz w:val="22"/>
          <w:szCs w:val="22"/>
        </w:rPr>
        <w:t xml:space="preserve">brocales con tapa y boca de tormenta que </w:t>
      </w:r>
      <w:r w:rsidR="00A90F1D" w:rsidRPr="00C86CE3">
        <w:rPr>
          <w:rFonts w:ascii="Palatino Linotype" w:eastAsia="Calibri" w:hAnsi="Palatino Linotype" w:cs="Arial"/>
          <w:b/>
          <w:i/>
          <w:sz w:val="22"/>
          <w:szCs w:val="22"/>
        </w:rPr>
        <w:t xml:space="preserve">EL SUJETO OBLIGADO </w:t>
      </w:r>
      <w:r w:rsidR="00E80A5B" w:rsidRPr="00C86CE3">
        <w:rPr>
          <w:rFonts w:ascii="Palatino Linotype" w:eastAsia="Calibri" w:hAnsi="Palatino Linotype" w:cs="Arial"/>
          <w:i/>
          <w:sz w:val="22"/>
          <w:szCs w:val="22"/>
        </w:rPr>
        <w:t>adquirió</w:t>
      </w:r>
      <w:r w:rsidR="0054618C" w:rsidRPr="00C86CE3">
        <w:rPr>
          <w:rFonts w:ascii="Palatino Linotype" w:eastAsia="Calibri" w:hAnsi="Palatino Linotype" w:cs="Arial"/>
          <w:i/>
          <w:sz w:val="22"/>
          <w:szCs w:val="22"/>
        </w:rPr>
        <w:t xml:space="preserve"> </w:t>
      </w:r>
      <w:r w:rsidR="00A90F1D" w:rsidRPr="00C86CE3">
        <w:rPr>
          <w:rFonts w:ascii="Palatino Linotype" w:eastAsia="Calibri" w:hAnsi="Palatino Linotype" w:cs="Arial"/>
          <w:i/>
          <w:sz w:val="22"/>
          <w:szCs w:val="22"/>
        </w:rPr>
        <w:t>durante el per</w:t>
      </w:r>
      <w:r w:rsidR="0054618C" w:rsidRPr="00C86CE3">
        <w:rPr>
          <w:rFonts w:ascii="Palatino Linotype" w:eastAsia="Calibri" w:hAnsi="Palatino Linotype" w:cs="Arial"/>
          <w:i/>
          <w:sz w:val="22"/>
          <w:szCs w:val="22"/>
        </w:rPr>
        <w:t>io</w:t>
      </w:r>
      <w:r w:rsidR="00A90F1D" w:rsidRPr="00C86CE3">
        <w:rPr>
          <w:rFonts w:ascii="Palatino Linotype" w:eastAsia="Calibri" w:hAnsi="Palatino Linotype" w:cs="Arial"/>
          <w:i/>
          <w:sz w:val="22"/>
          <w:szCs w:val="22"/>
        </w:rPr>
        <w:t>d</w:t>
      </w:r>
      <w:r w:rsidR="0054618C" w:rsidRPr="00C86CE3">
        <w:rPr>
          <w:rFonts w:ascii="Palatino Linotype" w:eastAsia="Calibri" w:hAnsi="Palatino Linotype" w:cs="Arial"/>
          <w:i/>
          <w:sz w:val="22"/>
          <w:szCs w:val="22"/>
        </w:rPr>
        <w:t>o</w:t>
      </w:r>
      <w:r w:rsidR="00A90F1D" w:rsidRPr="00C86CE3">
        <w:rPr>
          <w:rFonts w:ascii="Palatino Linotype" w:eastAsia="Calibri" w:hAnsi="Palatino Linotype" w:cs="Arial"/>
          <w:i/>
          <w:sz w:val="22"/>
          <w:szCs w:val="22"/>
        </w:rPr>
        <w:t xml:space="preserve"> del 1 de enero de </w:t>
      </w:r>
      <w:r w:rsidR="00E80A5B" w:rsidRPr="00C86CE3">
        <w:rPr>
          <w:rFonts w:ascii="Palatino Linotype" w:eastAsia="Calibri" w:hAnsi="Palatino Linotype" w:cs="Arial"/>
          <w:i/>
          <w:sz w:val="22"/>
          <w:szCs w:val="22"/>
        </w:rPr>
        <w:t xml:space="preserve">2016 al 6 de noviembre de 2018; </w:t>
      </w:r>
      <w:r w:rsidR="00A90F1D" w:rsidRPr="00C86CE3">
        <w:rPr>
          <w:rFonts w:ascii="Palatino Linotype" w:eastAsia="Calibri" w:hAnsi="Palatino Linotype" w:cs="Arial"/>
          <w:i/>
          <w:sz w:val="22"/>
          <w:szCs w:val="22"/>
        </w:rPr>
        <w:t>el precio unitario con el impuesto al valor agregado</w:t>
      </w:r>
      <w:r w:rsidR="00E80A5B" w:rsidRPr="00C86CE3">
        <w:rPr>
          <w:rFonts w:ascii="Palatino Linotype" w:eastAsia="Calibri" w:hAnsi="Palatino Linotype" w:cs="Arial"/>
          <w:i/>
          <w:sz w:val="22"/>
          <w:szCs w:val="22"/>
        </w:rPr>
        <w:t xml:space="preserve">; </w:t>
      </w:r>
      <w:r w:rsidR="00A90F1D" w:rsidRPr="00C86CE3">
        <w:rPr>
          <w:rFonts w:ascii="Palatino Linotype" w:eastAsia="Calibri" w:hAnsi="Palatino Linotype" w:cs="Arial"/>
          <w:i/>
          <w:sz w:val="22"/>
          <w:szCs w:val="22"/>
        </w:rPr>
        <w:t>nombre del proveedor y la ubicación donde se instalaron.</w:t>
      </w:r>
    </w:p>
    <w:p w:rsidR="00F06322" w:rsidRPr="00C86CE3" w:rsidRDefault="00F06322" w:rsidP="00A90F1D">
      <w:pPr>
        <w:spacing w:before="240" w:after="240"/>
        <w:ind w:left="851" w:right="899"/>
        <w:jc w:val="both"/>
        <w:rPr>
          <w:rFonts w:ascii="Palatino Linotype" w:hAnsi="Palatino Linotype" w:cs="Arial"/>
          <w:i/>
          <w:sz w:val="22"/>
          <w:szCs w:val="22"/>
        </w:rPr>
      </w:pPr>
      <w:r w:rsidRPr="00C86CE3">
        <w:rPr>
          <w:rFonts w:ascii="Palatino Linotype" w:hAnsi="Palatino Linotype" w:cs="Arial"/>
          <w:i/>
          <w:sz w:val="22"/>
          <w:szCs w:val="22"/>
        </w:rPr>
        <w:t xml:space="preserve">Debiendo notificar a </w:t>
      </w:r>
      <w:r w:rsidRPr="00C86CE3">
        <w:rPr>
          <w:rFonts w:ascii="Palatino Linotype" w:hAnsi="Palatino Linotype" w:cs="Arial"/>
          <w:b/>
          <w:i/>
          <w:sz w:val="22"/>
          <w:szCs w:val="22"/>
        </w:rPr>
        <w:t>LA</w:t>
      </w:r>
      <w:r w:rsidR="00A90F1D" w:rsidRPr="00C86CE3">
        <w:rPr>
          <w:rFonts w:ascii="Palatino Linotype" w:hAnsi="Palatino Linotype" w:cs="Arial"/>
          <w:b/>
          <w:i/>
          <w:sz w:val="22"/>
          <w:szCs w:val="22"/>
        </w:rPr>
        <w:t xml:space="preserve"> RECURRENTE</w:t>
      </w:r>
      <w:r w:rsidRPr="00C86CE3">
        <w:rPr>
          <w:rFonts w:ascii="Palatino Linotype" w:hAnsi="Palatino Linotype" w:cs="Arial"/>
          <w:i/>
          <w:sz w:val="22"/>
          <w:szCs w:val="22"/>
        </w:rPr>
        <w:t xml:space="preserve"> el Acuerdo de Clasificación que emita el Comité de Transparencia con motivo de la versión pública.</w:t>
      </w:r>
      <w:r w:rsidRPr="00C86CE3">
        <w:rPr>
          <w:rFonts w:ascii="Palatino Linotype" w:hAnsi="Palatino Linotype" w:cs="Arial"/>
          <w:b/>
          <w:i/>
          <w:sz w:val="22"/>
          <w:szCs w:val="22"/>
        </w:rPr>
        <w:t>”</w:t>
      </w:r>
    </w:p>
    <w:p w:rsidR="00F06322" w:rsidRPr="00C86CE3" w:rsidRDefault="00F06322" w:rsidP="00F06322">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C86CE3">
        <w:rPr>
          <w:rFonts w:ascii="Palatino Linotype" w:hAnsi="Palatino Linotype" w:cs="Arial"/>
          <w:b/>
          <w:sz w:val="28"/>
          <w:szCs w:val="28"/>
        </w:rPr>
        <w:t>TERCERO.</w:t>
      </w:r>
      <w:r w:rsidRPr="00C86CE3">
        <w:rPr>
          <w:rFonts w:ascii="Palatino Linotype" w:hAnsi="Palatino Linotype"/>
          <w:b/>
          <w:color w:val="222222"/>
          <w:shd w:val="clear" w:color="auto" w:fill="FFFFFF"/>
        </w:rPr>
        <w:t xml:space="preserve"> Notifíquese </w:t>
      </w:r>
      <w:r w:rsidRPr="00C86CE3">
        <w:rPr>
          <w:rFonts w:ascii="Palatino Linotype" w:hAnsi="Palatino Linotype"/>
          <w:color w:val="222222"/>
          <w:shd w:val="clear" w:color="auto" w:fill="FFFFFF"/>
        </w:rPr>
        <w:t>al Titular de la Unidad de Transparencia del</w:t>
      </w:r>
      <w:r w:rsidRPr="00C86CE3">
        <w:rPr>
          <w:rStyle w:val="apple-converted-space"/>
          <w:rFonts w:ascii="Palatino Linotype" w:hAnsi="Palatino Linotype"/>
          <w:color w:val="222222"/>
          <w:shd w:val="clear" w:color="auto" w:fill="FFFFFF"/>
        </w:rPr>
        <w:t> </w:t>
      </w:r>
      <w:r w:rsidRPr="00C86CE3">
        <w:rPr>
          <w:rFonts w:ascii="Palatino Linotype" w:hAnsi="Palatino Linotype"/>
          <w:b/>
          <w:color w:val="222222"/>
          <w:shd w:val="clear" w:color="auto" w:fill="FFFFFF"/>
        </w:rPr>
        <w:t>SUJETO OBLIGADO</w:t>
      </w:r>
      <w:r w:rsidRPr="00C86CE3">
        <w:rPr>
          <w:rFonts w:ascii="Palatino Linotype" w:hAnsi="Palatino Linotype"/>
          <w:color w:val="222222"/>
          <w:shd w:val="clear" w:color="auto" w:fill="FFFFFF"/>
        </w:rPr>
        <w:t xml:space="preserve">, para que conforme a los </w:t>
      </w:r>
      <w:r w:rsidRPr="00C86CE3">
        <w:rPr>
          <w:rFonts w:ascii="Palatino Linotype" w:hAnsi="Palatino Linotype" w:cs="Arial"/>
        </w:rPr>
        <w:t>artículos</w:t>
      </w:r>
      <w:r w:rsidRPr="00C86CE3">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C86CE3">
        <w:rPr>
          <w:rFonts w:ascii="Palatino Linotype" w:hAnsi="Palatino Linotype"/>
          <w:color w:val="222222"/>
          <w:szCs w:val="17"/>
          <w:lang w:eastAsia="es-ES_tradnl"/>
        </w:rPr>
        <w:t>de</w:t>
      </w:r>
      <w:r w:rsidRPr="00C86CE3">
        <w:rPr>
          <w:rFonts w:ascii="Palatino Linotype" w:hAnsi="Palatino Linotype"/>
          <w:color w:val="222222"/>
          <w:shd w:val="clear" w:color="auto" w:fill="FFFFFF"/>
        </w:rPr>
        <w:t xml:space="preserve"> tres días hábiles siguientes sobre el cumplimiento dado a la presente resolución.</w:t>
      </w:r>
    </w:p>
    <w:p w:rsidR="00F06322" w:rsidRPr="00C86CE3" w:rsidRDefault="00F06322" w:rsidP="00F06322">
      <w:pPr>
        <w:spacing w:before="240" w:after="240" w:line="360" w:lineRule="auto"/>
        <w:jc w:val="both"/>
        <w:rPr>
          <w:rFonts w:ascii="Palatino Linotype" w:hAnsi="Palatino Linotype"/>
          <w:color w:val="222222"/>
          <w:szCs w:val="17"/>
          <w:lang w:eastAsia="es-ES_tradnl"/>
        </w:rPr>
      </w:pPr>
      <w:r w:rsidRPr="00C86CE3">
        <w:rPr>
          <w:rFonts w:ascii="Palatino Linotype" w:hAnsi="Palatino Linotype" w:cs="Arial"/>
          <w:b/>
          <w:sz w:val="28"/>
          <w:szCs w:val="28"/>
        </w:rPr>
        <w:t>CUARTO.</w:t>
      </w:r>
      <w:r w:rsidRPr="00C86CE3">
        <w:rPr>
          <w:rFonts w:ascii="Palatino Linotype" w:hAnsi="Palatino Linotype"/>
          <w:b/>
          <w:color w:val="222222"/>
          <w:lang w:eastAsia="es-ES_tradnl"/>
        </w:rPr>
        <w:t xml:space="preserve"> </w:t>
      </w:r>
      <w:r w:rsidRPr="00C86CE3">
        <w:rPr>
          <w:rFonts w:ascii="Palatino Linotype" w:hAnsi="Palatino Linotype"/>
          <w:b/>
          <w:color w:val="222222"/>
          <w:szCs w:val="17"/>
          <w:lang w:eastAsia="es-ES_tradnl"/>
        </w:rPr>
        <w:t>Notifíquese</w:t>
      </w:r>
      <w:r w:rsidRPr="00C86CE3">
        <w:rPr>
          <w:rFonts w:ascii="Palatino Linotype" w:hAnsi="Palatino Linotype"/>
          <w:color w:val="222222"/>
          <w:szCs w:val="17"/>
          <w:lang w:eastAsia="es-ES_tradnl"/>
        </w:rPr>
        <w:t xml:space="preserve"> a </w:t>
      </w:r>
      <w:r w:rsidRPr="00C86CE3">
        <w:rPr>
          <w:rFonts w:ascii="Palatino Linotype" w:hAnsi="Palatino Linotype"/>
          <w:b/>
          <w:color w:val="222222"/>
          <w:szCs w:val="17"/>
          <w:lang w:eastAsia="es-ES_tradnl"/>
        </w:rPr>
        <w:t>LA</w:t>
      </w:r>
      <w:r w:rsidR="00A90F1D" w:rsidRPr="00C86CE3">
        <w:rPr>
          <w:rFonts w:ascii="Palatino Linotype" w:hAnsi="Palatino Linotype"/>
          <w:b/>
          <w:color w:val="222222"/>
          <w:szCs w:val="17"/>
          <w:lang w:eastAsia="es-ES_tradnl"/>
        </w:rPr>
        <w:t xml:space="preserve"> RECURRENTE</w:t>
      </w:r>
      <w:r w:rsidRPr="00C86CE3">
        <w:rPr>
          <w:rFonts w:ascii="Palatino Linotype" w:hAnsi="Palatino Linotype"/>
          <w:color w:val="222222"/>
          <w:szCs w:val="17"/>
          <w:lang w:eastAsia="es-ES_tradnl"/>
        </w:rPr>
        <w:t xml:space="preserve"> la presente resolución </w:t>
      </w:r>
      <w:r w:rsidRPr="00C86CE3">
        <w:rPr>
          <w:rFonts w:ascii="Palatino Linotype" w:hAnsi="Palatino Linotype"/>
          <w:b/>
          <w:color w:val="222222"/>
          <w:szCs w:val="17"/>
          <w:lang w:eastAsia="es-ES_tradnl"/>
        </w:rPr>
        <w:t>vía SAIMEX</w:t>
      </w:r>
      <w:r w:rsidRPr="00C86CE3">
        <w:rPr>
          <w:rFonts w:ascii="Palatino Linotype" w:hAnsi="Palatino Linotype"/>
          <w:color w:val="222222"/>
          <w:szCs w:val="17"/>
          <w:lang w:eastAsia="es-ES_tradnl"/>
        </w:rPr>
        <w:t>.</w:t>
      </w:r>
    </w:p>
    <w:p w:rsidR="00F06322" w:rsidRPr="00C86CE3" w:rsidRDefault="00F06322" w:rsidP="00F06322">
      <w:pPr>
        <w:spacing w:before="240" w:after="240" w:line="360" w:lineRule="auto"/>
        <w:jc w:val="both"/>
        <w:rPr>
          <w:rFonts w:ascii="Palatino Linotype" w:hAnsi="Palatino Linotype"/>
          <w:color w:val="222222"/>
          <w:szCs w:val="17"/>
          <w:lang w:eastAsia="es-ES_tradnl"/>
        </w:rPr>
      </w:pPr>
      <w:r w:rsidRPr="00C86CE3">
        <w:rPr>
          <w:rFonts w:ascii="Palatino Linotype" w:hAnsi="Palatino Linotype" w:cs="Arial"/>
          <w:b/>
          <w:bCs/>
          <w:color w:val="000000"/>
          <w:sz w:val="28"/>
          <w:lang w:eastAsia="es-MX"/>
        </w:rPr>
        <w:t>QUINTO.</w:t>
      </w:r>
      <w:r w:rsidRPr="00C86CE3">
        <w:rPr>
          <w:rFonts w:ascii="Palatino Linotype" w:hAnsi="Palatino Linotype"/>
          <w:color w:val="222222"/>
          <w:szCs w:val="17"/>
          <w:lang w:eastAsia="es-ES_tradnl"/>
        </w:rPr>
        <w:t xml:space="preserve"> </w:t>
      </w:r>
      <w:r w:rsidRPr="00C86CE3">
        <w:rPr>
          <w:rFonts w:ascii="Palatino Linotype" w:hAnsi="Palatino Linotype"/>
          <w:b/>
          <w:color w:val="222222"/>
          <w:szCs w:val="17"/>
          <w:lang w:eastAsia="es-ES_tradnl"/>
        </w:rPr>
        <w:t xml:space="preserve">Hágase del conocimiento </w:t>
      </w:r>
      <w:r w:rsidRPr="00C86CE3">
        <w:rPr>
          <w:rFonts w:ascii="Palatino Linotype" w:hAnsi="Palatino Linotype"/>
          <w:color w:val="222222"/>
          <w:szCs w:val="17"/>
          <w:lang w:eastAsia="es-ES_tradnl"/>
        </w:rPr>
        <w:t xml:space="preserve">de </w:t>
      </w:r>
      <w:r w:rsidRPr="00C86CE3">
        <w:rPr>
          <w:rFonts w:ascii="Palatino Linotype" w:eastAsia="Calibri" w:hAnsi="Palatino Linotype" w:cs="Arial"/>
          <w:b/>
          <w:color w:val="222222"/>
          <w:szCs w:val="17"/>
          <w:lang w:eastAsia="es-MX"/>
        </w:rPr>
        <w:t>LA</w:t>
      </w:r>
      <w:r w:rsidR="00A90F1D" w:rsidRPr="00C86CE3">
        <w:rPr>
          <w:rFonts w:ascii="Palatino Linotype" w:eastAsia="Calibri" w:hAnsi="Palatino Linotype" w:cs="Arial"/>
          <w:b/>
          <w:color w:val="222222"/>
          <w:szCs w:val="17"/>
          <w:lang w:eastAsia="es-MX"/>
        </w:rPr>
        <w:t xml:space="preserve"> RECURRENTE</w:t>
      </w:r>
      <w:r w:rsidRPr="00C86CE3">
        <w:rPr>
          <w:rFonts w:ascii="Palatino Linotype" w:eastAsia="Calibri" w:hAnsi="Palatino Linotype" w:cs="Arial"/>
          <w:b/>
          <w:color w:val="222222"/>
          <w:szCs w:val="17"/>
          <w:lang w:eastAsia="es-MX"/>
        </w:rPr>
        <w:t xml:space="preserve"> </w:t>
      </w:r>
      <w:r w:rsidRPr="00C86CE3">
        <w:rPr>
          <w:rFonts w:ascii="Palatino Linotype" w:hAnsi="Palatino Linotype"/>
          <w:color w:val="222222"/>
          <w:szCs w:val="17"/>
          <w:lang w:eastAsia="es-ES_tradnl"/>
        </w:rPr>
        <w:t xml:space="preserve">que de conformidad con lo establecido en el artículo 196 de la Ley de Transparencia y Acceso a la Información </w:t>
      </w:r>
      <w:r w:rsidRPr="00C86CE3">
        <w:rPr>
          <w:rFonts w:ascii="Palatino Linotype" w:hAnsi="Palatino Linotype"/>
          <w:color w:val="222222"/>
          <w:szCs w:val="17"/>
          <w:lang w:eastAsia="es-ES_tradnl"/>
        </w:rPr>
        <w:lastRenderedPageBreak/>
        <w:t>Pública del Estado de México y Municipios, podrá impugnar la presente resolución vía Juicio de Amparo en los términos de las leyes aplicables.</w:t>
      </w:r>
    </w:p>
    <w:p w:rsidR="00F06322" w:rsidRPr="00500847" w:rsidRDefault="00F06322" w:rsidP="00F06322">
      <w:pPr>
        <w:spacing w:line="360" w:lineRule="auto"/>
        <w:jc w:val="both"/>
        <w:rPr>
          <w:rFonts w:ascii="Palatino Linotype" w:hAnsi="Palatino Linotype"/>
          <w:lang w:eastAsia="es-ES_tradnl"/>
        </w:rPr>
      </w:pPr>
      <w:r w:rsidRPr="00C86CE3">
        <w:rPr>
          <w:rFonts w:ascii="Palatino Linotype" w:hAnsi="Palatino Linotype" w:cs="Arial"/>
          <w:b/>
          <w:bCs/>
          <w:color w:val="222222"/>
          <w:sz w:val="28"/>
          <w:lang w:eastAsia="es-MX"/>
        </w:rPr>
        <w:t>SEXTO</w:t>
      </w:r>
      <w:r w:rsidRPr="00C86CE3">
        <w:rPr>
          <w:rFonts w:ascii="Palatino Linotype" w:hAnsi="Palatino Linotype"/>
          <w:b/>
          <w:sz w:val="28"/>
          <w:szCs w:val="25"/>
        </w:rPr>
        <w:t xml:space="preserve">. </w:t>
      </w:r>
      <w:r w:rsidRPr="00C86CE3">
        <w:rPr>
          <w:rFonts w:ascii="Palatino Linotype" w:hAnsi="Palatino Linotype"/>
          <w:b/>
        </w:rPr>
        <w:t>Gírese</w:t>
      </w:r>
      <w:r w:rsidRPr="00C86CE3">
        <w:rPr>
          <w:rFonts w:ascii="Palatino Linotype" w:hAnsi="Palatino Linotype"/>
        </w:rPr>
        <w:t xml:space="preserve"> </w:t>
      </w:r>
      <w:r w:rsidRPr="00C86CE3">
        <w:rPr>
          <w:rFonts w:ascii="Palatino Linotype" w:hAnsi="Palatino Linotype"/>
          <w:lang w:eastAsia="es-ES_tradnl"/>
        </w:rPr>
        <w:t xml:space="preserve">oficio al Titular de la Contraloría Interna y Órgano de Control y Vigilancia de este </w:t>
      </w:r>
      <w:r w:rsidRPr="00C86CE3">
        <w:rPr>
          <w:rFonts w:ascii="Palatino Linotype" w:hAnsi="Palatino Linotype" w:cs="Arial"/>
        </w:rPr>
        <w:t>Instituto</w:t>
      </w:r>
      <w:r w:rsidRPr="00C86CE3">
        <w:rPr>
          <w:rFonts w:ascii="Palatino Linotype" w:hAnsi="Palatino Linotype"/>
          <w:lang w:eastAsia="es-ES_tradnl"/>
        </w:rPr>
        <w:t xml:space="preserve">, de conformidad con el artículo 190 de la Ley de Transparencia y </w:t>
      </w:r>
      <w:r w:rsidRPr="00C86CE3">
        <w:rPr>
          <w:rFonts w:ascii="Palatino Linotype" w:hAnsi="Palatino Linotype"/>
          <w:color w:val="222222"/>
          <w:shd w:val="clear" w:color="auto" w:fill="FFFFFF"/>
        </w:rPr>
        <w:t>Acceso</w:t>
      </w:r>
      <w:r w:rsidRPr="00C86CE3">
        <w:rPr>
          <w:rFonts w:ascii="Palatino Linotype" w:hAnsi="Palatino Linotype"/>
          <w:lang w:eastAsia="es-ES_tradnl"/>
        </w:rPr>
        <w:t xml:space="preserve"> a la Información Pública del Estado de México y Municipios a fin de que determine lo conducente, en términos del Considerando </w:t>
      </w:r>
      <w:r w:rsidRPr="00C86CE3">
        <w:rPr>
          <w:rFonts w:ascii="Palatino Linotype" w:hAnsi="Palatino Linotype"/>
          <w:b/>
          <w:lang w:eastAsia="es-ES_tradnl"/>
        </w:rPr>
        <w:t>QUINTO</w:t>
      </w:r>
      <w:r w:rsidRPr="00C86CE3">
        <w:rPr>
          <w:rFonts w:ascii="Palatino Linotype" w:hAnsi="Palatino Linotype"/>
          <w:lang w:eastAsia="es-ES_tradnl"/>
        </w:rPr>
        <w:t xml:space="preserve"> de la presente resolución.</w:t>
      </w:r>
    </w:p>
    <w:p w:rsidR="0041633D" w:rsidRPr="00500847" w:rsidRDefault="0041633D" w:rsidP="0041633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500847">
        <w:rPr>
          <w:rFonts w:ascii="Palatino Linotype" w:hAnsi="Palatino Linotype" w:cs="Arial"/>
        </w:rPr>
        <w:t xml:space="preserve">ASÍ LO RESUELVE, </w:t>
      </w:r>
      <w:r w:rsidRPr="005E027C">
        <w:rPr>
          <w:rFonts w:ascii="Palatino Linotype" w:hAnsi="Palatino Linotype" w:cs="Arial"/>
        </w:rPr>
        <w:t>POR UNANIMIDAD DE VOTOS, EL PLENO DEL</w:t>
      </w:r>
      <w:r w:rsidRPr="005E027C">
        <w:rPr>
          <w:rFonts w:ascii="Palatino Linotype" w:eastAsia="Arial Unicode MS" w:hAnsi="Palatino Linotype" w:cs="Arial"/>
        </w:rPr>
        <w:t xml:space="preserve"> INSTITUTO DE TRANSPARENCIA, ACCESO A LA INFORMACIÓN PÚBLICA Y PROTECCIÓN DE DATOS PERSONALES DEL ESTADO DE MÉXICO Y MUNICIPIOS</w:t>
      </w:r>
      <w:r w:rsidRPr="005E027C">
        <w:rPr>
          <w:rFonts w:ascii="Palatino Linotype" w:hAnsi="Palatino Linotype" w:cs="Arial"/>
        </w:rPr>
        <w:t xml:space="preserve">, CONFORMADO POR LOS COMISIONADOS ZULEMA MARTÍNEZ SÁNCHEZ; EVA ABAID YAPUR; JOSÉ GUADALUPE LUNA HERNÁNDEZ; JAVIER MARTÍNEZ CRUZ Y LUIS GUSTAVO PARRA NORIEGA; EN LA </w:t>
      </w:r>
      <w:r w:rsidR="00C86CE3" w:rsidRPr="005E027C">
        <w:rPr>
          <w:rFonts w:ascii="Palatino Linotype" w:hAnsi="Palatino Linotype" w:cs="Arial"/>
        </w:rPr>
        <w:t>SEXTA</w:t>
      </w:r>
      <w:r w:rsidRPr="005E027C">
        <w:rPr>
          <w:rFonts w:ascii="Palatino Linotype" w:hAnsi="Palatino Linotype" w:cs="Arial"/>
        </w:rPr>
        <w:t xml:space="preserve"> SESIÓN ORDINARIA CELEBRADA EL </w:t>
      </w:r>
      <w:r w:rsidR="00C86CE3" w:rsidRPr="005E027C">
        <w:rPr>
          <w:rFonts w:ascii="Palatino Linotype" w:hAnsi="Palatino Linotype" w:cs="Arial"/>
        </w:rPr>
        <w:t>TRECE</w:t>
      </w:r>
      <w:r w:rsidR="0054618C" w:rsidRPr="005E027C">
        <w:rPr>
          <w:rFonts w:ascii="Palatino Linotype" w:hAnsi="Palatino Linotype" w:cs="Arial"/>
        </w:rPr>
        <w:t xml:space="preserve"> </w:t>
      </w:r>
      <w:r w:rsidR="00A90F1D" w:rsidRPr="005E027C">
        <w:rPr>
          <w:rFonts w:ascii="Palatino Linotype" w:hAnsi="Palatino Linotype" w:cs="Arial"/>
        </w:rPr>
        <w:t xml:space="preserve">DE FEBRERO </w:t>
      </w:r>
      <w:r w:rsidRPr="005E027C">
        <w:rPr>
          <w:rFonts w:ascii="Palatino Linotype" w:hAnsi="Palatino Linotype" w:cs="Arial"/>
        </w:rPr>
        <w:t>DE DOS MIL DIECINUEVE,</w:t>
      </w:r>
      <w:r w:rsidRPr="00500847">
        <w:rPr>
          <w:rFonts w:ascii="Palatino Linotype" w:hAnsi="Palatino Linotype" w:cs="Arial"/>
        </w:rPr>
        <w:t xml:space="preserve"> ANTE EL SECRETARIO TÉCNICO DEL PLENO, </w:t>
      </w:r>
      <w:r w:rsidRPr="00500847">
        <w:rPr>
          <w:rFonts w:ascii="Palatino Linotype" w:hAnsi="Palatino Linotype" w:cs="Arial"/>
          <w:lang w:val="es-ES_tradnl"/>
        </w:rPr>
        <w:t>ALEXIS TAPIA RAMÍREZ.</w:t>
      </w:r>
    </w:p>
    <w:tbl>
      <w:tblPr>
        <w:tblW w:w="10368" w:type="dxa"/>
        <w:jc w:val="center"/>
        <w:tblLayout w:type="fixed"/>
        <w:tblLook w:val="04A0" w:firstRow="1" w:lastRow="0" w:firstColumn="1" w:lastColumn="0" w:noHBand="0" w:noVBand="1"/>
      </w:tblPr>
      <w:tblGrid>
        <w:gridCol w:w="5184"/>
        <w:gridCol w:w="5184"/>
      </w:tblGrid>
      <w:tr w:rsidR="0041633D" w:rsidRPr="00500847" w:rsidTr="00F06322">
        <w:trPr>
          <w:jc w:val="center"/>
        </w:trPr>
        <w:tc>
          <w:tcPr>
            <w:tcW w:w="10368" w:type="dxa"/>
            <w:gridSpan w:val="2"/>
          </w:tcPr>
          <w:p w:rsidR="0041633D" w:rsidRDefault="0041633D" w:rsidP="00F06322">
            <w:pPr>
              <w:jc w:val="center"/>
              <w:rPr>
                <w:rFonts w:ascii="Palatino Linotype" w:hAnsi="Palatino Linotype" w:cs="Arial"/>
                <w:b/>
                <w:lang w:val="es-ES_tradnl"/>
              </w:rPr>
            </w:pPr>
          </w:p>
          <w:p w:rsidR="005E027C" w:rsidRPr="00500847" w:rsidRDefault="005E027C"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r w:rsidRPr="00500847">
              <w:rPr>
                <w:rFonts w:ascii="Palatino Linotype" w:hAnsi="Palatino Linotype" w:cs="Arial"/>
                <w:b/>
                <w:lang w:val="es-ES_tradnl"/>
              </w:rPr>
              <w:t>Zulema Martínez Sánchez</w:t>
            </w:r>
          </w:p>
          <w:p w:rsidR="0041633D" w:rsidRPr="00500847" w:rsidRDefault="0041633D" w:rsidP="00F06322">
            <w:pPr>
              <w:jc w:val="center"/>
              <w:rPr>
                <w:rFonts w:ascii="Palatino Linotype" w:hAnsi="Palatino Linotype" w:cs="Arial"/>
                <w:b/>
                <w:lang w:val="es-ES_tradnl"/>
              </w:rPr>
            </w:pPr>
            <w:r w:rsidRPr="00500847">
              <w:rPr>
                <w:rFonts w:ascii="Palatino Linotype" w:hAnsi="Palatino Linotype" w:cs="Arial"/>
                <w:lang w:val="es-ES_tradnl"/>
              </w:rPr>
              <w:t>Comisionada Presidenta</w:t>
            </w:r>
          </w:p>
          <w:p w:rsidR="0041633D" w:rsidRPr="00500847" w:rsidRDefault="0041633D" w:rsidP="00F06322">
            <w:pPr>
              <w:jc w:val="center"/>
              <w:rPr>
                <w:rFonts w:ascii="Palatino Linotype" w:hAnsi="Palatino Linotype" w:cs="Arial"/>
                <w:b/>
                <w:lang w:val="es-ES_tradnl"/>
              </w:rPr>
            </w:pPr>
            <w:r w:rsidRPr="003E40F2">
              <w:rPr>
                <w:rFonts w:ascii="Palatino Linotype" w:hAnsi="Palatino Linotype" w:cs="Arial"/>
                <w:b/>
                <w:color w:val="FFFFFF" w:themeColor="background1"/>
                <w:lang w:val="es-ES_tradnl"/>
              </w:rPr>
              <w:t xml:space="preserve">(RÚBRICA) </w:t>
            </w:r>
          </w:p>
        </w:tc>
      </w:tr>
      <w:tr w:rsidR="0041633D" w:rsidRPr="00500847" w:rsidTr="00F06322">
        <w:trPr>
          <w:jc w:val="center"/>
        </w:trPr>
        <w:tc>
          <w:tcPr>
            <w:tcW w:w="5184" w:type="dxa"/>
            <w:hideMark/>
          </w:tcPr>
          <w:p w:rsidR="0041633D" w:rsidRDefault="0041633D"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Pr="00500847" w:rsidRDefault="005E027C"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r w:rsidRPr="00500847">
              <w:rPr>
                <w:rFonts w:ascii="Palatino Linotype" w:hAnsi="Palatino Linotype" w:cs="Arial"/>
                <w:b/>
                <w:lang w:val="es-ES_tradnl"/>
              </w:rPr>
              <w:t>Eva Abaid Yapur</w:t>
            </w:r>
          </w:p>
          <w:p w:rsidR="0041633D" w:rsidRPr="00500847" w:rsidRDefault="0041633D" w:rsidP="00F06322">
            <w:pPr>
              <w:jc w:val="center"/>
              <w:rPr>
                <w:rFonts w:ascii="Palatino Linotype" w:hAnsi="Palatino Linotype" w:cs="Arial"/>
                <w:lang w:val="es-ES_tradnl"/>
              </w:rPr>
            </w:pPr>
            <w:r w:rsidRPr="00500847">
              <w:rPr>
                <w:rFonts w:ascii="Palatino Linotype" w:hAnsi="Palatino Linotype" w:cs="Arial"/>
                <w:lang w:val="es-ES_tradnl"/>
              </w:rPr>
              <w:t>Comisionada</w:t>
            </w:r>
          </w:p>
          <w:p w:rsidR="0041633D" w:rsidRPr="00500847" w:rsidRDefault="0041633D" w:rsidP="00F06322">
            <w:pPr>
              <w:jc w:val="center"/>
              <w:rPr>
                <w:rFonts w:ascii="Palatino Linotype" w:hAnsi="Palatino Linotype" w:cs="Arial"/>
                <w:b/>
                <w:lang w:val="es-ES_tradnl"/>
              </w:rPr>
            </w:pPr>
            <w:r w:rsidRPr="003E40F2">
              <w:rPr>
                <w:rFonts w:ascii="Palatino Linotype" w:hAnsi="Palatino Linotype" w:cs="Arial"/>
                <w:b/>
                <w:color w:val="FFFFFF" w:themeColor="background1"/>
                <w:lang w:val="es-ES_tradnl"/>
              </w:rPr>
              <w:t>(RÚBRICA)</w:t>
            </w:r>
          </w:p>
        </w:tc>
        <w:tc>
          <w:tcPr>
            <w:tcW w:w="5184" w:type="dxa"/>
          </w:tcPr>
          <w:p w:rsidR="0041633D" w:rsidRDefault="0041633D"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Pr="00500847" w:rsidRDefault="005E027C"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r w:rsidRPr="00500847">
              <w:rPr>
                <w:rFonts w:ascii="Palatino Linotype" w:hAnsi="Palatino Linotype" w:cs="Arial"/>
                <w:b/>
                <w:lang w:val="es-ES_tradnl"/>
              </w:rPr>
              <w:t>José Guadalupe Luna Hernández</w:t>
            </w:r>
          </w:p>
          <w:p w:rsidR="0041633D" w:rsidRPr="00500847" w:rsidRDefault="0041633D" w:rsidP="00F06322">
            <w:pPr>
              <w:jc w:val="center"/>
              <w:rPr>
                <w:rFonts w:ascii="Palatino Linotype" w:hAnsi="Palatino Linotype" w:cs="Arial"/>
                <w:lang w:val="es-ES_tradnl"/>
              </w:rPr>
            </w:pPr>
            <w:r w:rsidRPr="00500847">
              <w:rPr>
                <w:rFonts w:ascii="Palatino Linotype" w:hAnsi="Palatino Linotype" w:cs="Arial"/>
                <w:lang w:val="es-ES_tradnl"/>
              </w:rPr>
              <w:t>Comisionado</w:t>
            </w:r>
          </w:p>
          <w:p w:rsidR="0041633D" w:rsidRPr="00500847" w:rsidRDefault="0041633D" w:rsidP="00F06322">
            <w:pPr>
              <w:jc w:val="center"/>
              <w:rPr>
                <w:rFonts w:ascii="Palatino Linotype" w:hAnsi="Palatino Linotype" w:cs="Arial"/>
                <w:b/>
                <w:lang w:val="es-ES_tradnl"/>
              </w:rPr>
            </w:pPr>
            <w:r w:rsidRPr="003E40F2">
              <w:rPr>
                <w:rFonts w:ascii="Palatino Linotype" w:hAnsi="Palatino Linotype" w:cs="Arial"/>
                <w:b/>
                <w:color w:val="FFFFFF" w:themeColor="background1"/>
                <w:lang w:val="es-ES_tradnl"/>
              </w:rPr>
              <w:t>(RÚBRICA)</w:t>
            </w:r>
          </w:p>
        </w:tc>
      </w:tr>
      <w:tr w:rsidR="0041633D" w:rsidRPr="00500847" w:rsidTr="00F06322">
        <w:trPr>
          <w:jc w:val="center"/>
        </w:trPr>
        <w:tc>
          <w:tcPr>
            <w:tcW w:w="5184" w:type="dxa"/>
          </w:tcPr>
          <w:p w:rsidR="0054618C" w:rsidRDefault="0054618C"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Pr="00500847" w:rsidRDefault="005E027C"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r w:rsidRPr="00500847">
              <w:rPr>
                <w:rFonts w:ascii="Palatino Linotype" w:hAnsi="Palatino Linotype" w:cs="Arial"/>
                <w:b/>
                <w:lang w:val="es-ES_tradnl"/>
              </w:rPr>
              <w:t>Javier Martínez Cruz</w:t>
            </w:r>
          </w:p>
          <w:p w:rsidR="0041633D" w:rsidRPr="00500847" w:rsidRDefault="0041633D" w:rsidP="00F06322">
            <w:pPr>
              <w:jc w:val="center"/>
              <w:rPr>
                <w:rFonts w:ascii="Palatino Linotype" w:hAnsi="Palatino Linotype" w:cs="Arial"/>
                <w:lang w:val="es-ES_tradnl"/>
              </w:rPr>
            </w:pPr>
            <w:r w:rsidRPr="00500847">
              <w:rPr>
                <w:rFonts w:ascii="Palatino Linotype" w:hAnsi="Palatino Linotype" w:cs="Arial"/>
                <w:lang w:val="es-ES_tradnl"/>
              </w:rPr>
              <w:t>Comisionado</w:t>
            </w:r>
          </w:p>
          <w:p w:rsidR="0041633D" w:rsidRPr="00500847" w:rsidRDefault="0041633D" w:rsidP="00F06322">
            <w:pPr>
              <w:jc w:val="center"/>
              <w:rPr>
                <w:rFonts w:ascii="Palatino Linotype" w:hAnsi="Palatino Linotype" w:cs="Arial"/>
                <w:b/>
                <w:lang w:val="es-ES_tradnl"/>
              </w:rPr>
            </w:pPr>
            <w:r w:rsidRPr="003E40F2">
              <w:rPr>
                <w:rFonts w:ascii="Palatino Linotype" w:hAnsi="Palatino Linotype" w:cs="Arial"/>
                <w:b/>
                <w:color w:val="FFFFFF" w:themeColor="background1"/>
                <w:lang w:val="es-ES_tradnl"/>
              </w:rPr>
              <w:t>(RÚBRICA)</w:t>
            </w:r>
          </w:p>
        </w:tc>
        <w:tc>
          <w:tcPr>
            <w:tcW w:w="5184" w:type="dxa"/>
          </w:tcPr>
          <w:p w:rsidR="0041633D" w:rsidRDefault="0041633D"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Pr="00500847" w:rsidRDefault="005E027C"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r w:rsidRPr="00500847">
              <w:rPr>
                <w:rFonts w:ascii="Palatino Linotype" w:hAnsi="Palatino Linotype" w:cs="Arial"/>
                <w:b/>
                <w:lang w:val="es-ES_tradnl"/>
              </w:rPr>
              <w:t>Luis Gustavo Parra Noriega</w:t>
            </w:r>
          </w:p>
          <w:p w:rsidR="0041633D" w:rsidRPr="00500847" w:rsidRDefault="0041633D" w:rsidP="00F06322">
            <w:pPr>
              <w:jc w:val="center"/>
              <w:rPr>
                <w:rFonts w:ascii="Palatino Linotype" w:hAnsi="Palatino Linotype" w:cs="Arial"/>
                <w:lang w:val="es-ES_tradnl"/>
              </w:rPr>
            </w:pPr>
            <w:r w:rsidRPr="00500847">
              <w:rPr>
                <w:rFonts w:ascii="Palatino Linotype" w:hAnsi="Palatino Linotype" w:cs="Arial"/>
                <w:lang w:val="es-ES_tradnl"/>
              </w:rPr>
              <w:t>Comisionado</w:t>
            </w:r>
          </w:p>
          <w:p w:rsidR="0041633D" w:rsidRPr="00500847" w:rsidRDefault="0041633D" w:rsidP="00F06322">
            <w:pPr>
              <w:jc w:val="center"/>
              <w:rPr>
                <w:rFonts w:ascii="Palatino Linotype" w:hAnsi="Palatino Linotype" w:cs="Arial"/>
                <w:b/>
                <w:lang w:val="es-ES_tradnl"/>
              </w:rPr>
            </w:pPr>
            <w:r w:rsidRPr="003E40F2">
              <w:rPr>
                <w:rFonts w:ascii="Palatino Linotype" w:hAnsi="Palatino Linotype" w:cs="Arial"/>
                <w:b/>
                <w:color w:val="FFFFFF" w:themeColor="background1"/>
                <w:lang w:val="es-ES_tradnl"/>
              </w:rPr>
              <w:t>(RÚBRICA)</w:t>
            </w:r>
          </w:p>
        </w:tc>
      </w:tr>
      <w:tr w:rsidR="0041633D" w:rsidRPr="00500847" w:rsidTr="00F06322">
        <w:trPr>
          <w:jc w:val="center"/>
        </w:trPr>
        <w:tc>
          <w:tcPr>
            <w:tcW w:w="10368" w:type="dxa"/>
            <w:gridSpan w:val="2"/>
          </w:tcPr>
          <w:p w:rsidR="005E027C" w:rsidRDefault="005E027C"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5E027C" w:rsidRDefault="005E027C" w:rsidP="00F06322">
            <w:pPr>
              <w:jc w:val="center"/>
              <w:rPr>
                <w:rFonts w:ascii="Palatino Linotype" w:hAnsi="Palatino Linotype" w:cs="Arial"/>
                <w:b/>
                <w:lang w:val="es-ES_tradnl"/>
              </w:rPr>
            </w:pPr>
          </w:p>
          <w:p w:rsidR="0041633D" w:rsidRPr="00500847" w:rsidRDefault="0041633D" w:rsidP="00F06322">
            <w:pPr>
              <w:jc w:val="center"/>
              <w:rPr>
                <w:rFonts w:ascii="Palatino Linotype" w:hAnsi="Palatino Linotype" w:cs="Arial"/>
                <w:b/>
                <w:lang w:val="es-ES_tradnl"/>
              </w:rPr>
            </w:pPr>
            <w:r w:rsidRPr="00500847">
              <w:rPr>
                <w:rFonts w:ascii="Palatino Linotype" w:hAnsi="Palatino Linotype" w:cs="Arial"/>
                <w:b/>
                <w:lang w:val="es-ES_tradnl"/>
              </w:rPr>
              <w:t>Alexis Tapia Ramírez</w:t>
            </w:r>
          </w:p>
          <w:p w:rsidR="0041633D" w:rsidRPr="00500847" w:rsidRDefault="0041633D" w:rsidP="00F06322">
            <w:pPr>
              <w:jc w:val="center"/>
              <w:rPr>
                <w:rFonts w:ascii="Palatino Linotype" w:hAnsi="Palatino Linotype" w:cs="Arial"/>
                <w:lang w:val="es-ES_tradnl"/>
              </w:rPr>
            </w:pPr>
            <w:r w:rsidRPr="00500847">
              <w:rPr>
                <w:rFonts w:ascii="Palatino Linotype" w:hAnsi="Palatino Linotype" w:cs="Arial"/>
                <w:lang w:val="es-ES_tradnl"/>
              </w:rPr>
              <w:t>Secretario Técnico del Pleno</w:t>
            </w:r>
          </w:p>
          <w:p w:rsidR="0041633D" w:rsidRPr="00500847" w:rsidRDefault="0041633D" w:rsidP="00F06322">
            <w:pPr>
              <w:jc w:val="center"/>
              <w:rPr>
                <w:rFonts w:ascii="Palatino Linotype" w:hAnsi="Palatino Linotype" w:cs="Arial"/>
                <w:b/>
                <w:lang w:val="es-ES_tradnl"/>
              </w:rPr>
            </w:pPr>
            <w:r w:rsidRPr="003E40F2">
              <w:rPr>
                <w:rFonts w:ascii="Palatino Linotype" w:hAnsi="Palatino Linotype" w:cs="Arial"/>
                <w:b/>
                <w:color w:val="FFFFFF" w:themeColor="background1"/>
                <w:lang w:val="es-ES_tradnl"/>
              </w:rPr>
              <w:t>(RÚBRICA)</w:t>
            </w:r>
          </w:p>
        </w:tc>
      </w:tr>
    </w:tbl>
    <w:p w:rsidR="005E027C" w:rsidRDefault="005E027C" w:rsidP="0041633D">
      <w:pPr>
        <w:spacing w:before="100" w:beforeAutospacing="1" w:after="100" w:afterAutospacing="1"/>
        <w:jc w:val="both"/>
        <w:rPr>
          <w:rFonts w:ascii="Palatino Linotype" w:hAnsi="Palatino Linotype" w:cs="Arial"/>
          <w:sz w:val="20"/>
        </w:rPr>
      </w:pPr>
    </w:p>
    <w:p w:rsidR="005E027C" w:rsidRDefault="005E027C" w:rsidP="0041633D">
      <w:pPr>
        <w:spacing w:before="100" w:beforeAutospacing="1" w:after="100" w:afterAutospacing="1"/>
        <w:jc w:val="both"/>
        <w:rPr>
          <w:rFonts w:ascii="Palatino Linotype" w:hAnsi="Palatino Linotype" w:cs="Arial"/>
          <w:sz w:val="20"/>
        </w:rPr>
      </w:pPr>
    </w:p>
    <w:p w:rsidR="005E027C" w:rsidRDefault="005E027C" w:rsidP="0041633D">
      <w:pPr>
        <w:spacing w:before="100" w:beforeAutospacing="1" w:after="100" w:afterAutospacing="1"/>
        <w:jc w:val="both"/>
        <w:rPr>
          <w:rFonts w:ascii="Palatino Linotype" w:hAnsi="Palatino Linotype" w:cs="Arial"/>
          <w:sz w:val="20"/>
        </w:rPr>
      </w:pPr>
    </w:p>
    <w:p w:rsidR="0041633D" w:rsidRPr="00500847" w:rsidRDefault="0041633D" w:rsidP="0041633D">
      <w:pPr>
        <w:spacing w:before="100" w:beforeAutospacing="1" w:after="100" w:afterAutospacing="1"/>
        <w:jc w:val="both"/>
        <w:rPr>
          <w:rFonts w:ascii="Palatino Linotype" w:hAnsi="Palatino Linotype" w:cs="Arial"/>
          <w:sz w:val="20"/>
        </w:rPr>
      </w:pPr>
      <w:r w:rsidRPr="00500847">
        <w:rPr>
          <w:rFonts w:ascii="Palatino Linotype" w:hAnsi="Palatino Linotype" w:cs="Arial"/>
          <w:sz w:val="20"/>
        </w:rPr>
        <w:t xml:space="preserve">Esta hoja corresponde a la resolución de </w:t>
      </w:r>
      <w:r w:rsidR="00C86CE3">
        <w:rPr>
          <w:rFonts w:ascii="Palatino Linotype" w:hAnsi="Palatino Linotype" w:cs="Arial"/>
          <w:sz w:val="20"/>
        </w:rPr>
        <w:t>trece</w:t>
      </w:r>
      <w:r w:rsidR="0076145D" w:rsidRPr="00500847">
        <w:rPr>
          <w:rFonts w:ascii="Palatino Linotype" w:hAnsi="Palatino Linotype" w:cs="Arial"/>
          <w:sz w:val="20"/>
        </w:rPr>
        <w:t xml:space="preserve"> de febrero </w:t>
      </w:r>
      <w:r w:rsidRPr="00500847">
        <w:rPr>
          <w:rFonts w:ascii="Palatino Linotype" w:hAnsi="Palatino Linotype" w:cs="Arial"/>
          <w:sz w:val="20"/>
        </w:rPr>
        <w:t>de dos mil diecinueve, emitida en el recurso de revisión número 0</w:t>
      </w:r>
      <w:r w:rsidR="0076145D" w:rsidRPr="00500847">
        <w:rPr>
          <w:rFonts w:ascii="Palatino Linotype" w:hAnsi="Palatino Linotype" w:cs="Arial"/>
          <w:sz w:val="20"/>
        </w:rPr>
        <w:t>4632</w:t>
      </w:r>
      <w:r w:rsidRPr="00500847">
        <w:rPr>
          <w:rFonts w:ascii="Palatino Linotype" w:hAnsi="Palatino Linotype" w:cs="Arial"/>
          <w:sz w:val="20"/>
        </w:rPr>
        <w:t>/INFOEM/IP/RR/2018.</w:t>
      </w:r>
    </w:p>
    <w:p w:rsidR="00C23B43" w:rsidRPr="00500847" w:rsidRDefault="0041633D" w:rsidP="0076145D">
      <w:pPr>
        <w:spacing w:before="100" w:beforeAutospacing="1" w:after="100" w:afterAutospacing="1"/>
        <w:jc w:val="both"/>
      </w:pPr>
      <w:r w:rsidRPr="00500847">
        <w:rPr>
          <w:rFonts w:ascii="Palatino Linotype" w:hAnsi="Palatino Linotype" w:cs="Arial"/>
          <w:sz w:val="20"/>
        </w:rPr>
        <w:t>YSM/AMV</w:t>
      </w:r>
    </w:p>
    <w:sectPr w:rsidR="00C23B43" w:rsidRPr="00500847" w:rsidSect="00F06322">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365" w:rsidRDefault="00966365" w:rsidP="0041633D">
      <w:r>
        <w:separator/>
      </w:r>
    </w:p>
  </w:endnote>
  <w:endnote w:type="continuationSeparator" w:id="0">
    <w:p w:rsidR="00966365" w:rsidRDefault="00966365" w:rsidP="00416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9F1" w:rsidRPr="00A2780F" w:rsidRDefault="00C919F1" w:rsidP="00F06322">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D1514">
      <w:rPr>
        <w:rFonts w:ascii="Arial" w:hAnsi="Arial" w:cs="Arial"/>
        <w:b/>
        <w:bCs/>
        <w:noProof/>
        <w:sz w:val="20"/>
        <w:szCs w:val="20"/>
      </w:rPr>
      <w:t>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D1514">
      <w:rPr>
        <w:rFonts w:ascii="Arial" w:hAnsi="Arial" w:cs="Arial"/>
        <w:b/>
        <w:bCs/>
        <w:noProof/>
        <w:sz w:val="20"/>
        <w:szCs w:val="20"/>
      </w:rPr>
      <w:t>63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9F1" w:rsidRDefault="00C919F1" w:rsidP="00F0632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D151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D1514">
      <w:rPr>
        <w:rFonts w:ascii="Arial" w:hAnsi="Arial" w:cs="Arial"/>
        <w:b/>
        <w:bCs/>
        <w:noProof/>
        <w:sz w:val="20"/>
        <w:szCs w:val="20"/>
      </w:rPr>
      <w:t>63</w:t>
    </w:r>
    <w:r w:rsidRPr="00986599">
      <w:rPr>
        <w:rFonts w:ascii="Arial" w:hAnsi="Arial" w:cs="Arial"/>
        <w:b/>
        <w:bCs/>
        <w:sz w:val="20"/>
        <w:szCs w:val="20"/>
      </w:rPr>
      <w:fldChar w:fldCharType="end"/>
    </w:r>
  </w:p>
  <w:p w:rsidR="00C919F1" w:rsidRPr="00070856" w:rsidRDefault="00C919F1" w:rsidP="00F06322">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365" w:rsidRDefault="00966365" w:rsidP="0041633D">
      <w:r>
        <w:separator/>
      </w:r>
    </w:p>
  </w:footnote>
  <w:footnote w:type="continuationSeparator" w:id="0">
    <w:p w:rsidR="00966365" w:rsidRDefault="00966365" w:rsidP="0041633D">
      <w:r>
        <w:continuationSeparator/>
      </w:r>
    </w:p>
  </w:footnote>
  <w:footnote w:id="1">
    <w:p w:rsidR="00C919F1" w:rsidRPr="00263A9C" w:rsidRDefault="00C919F1">
      <w:pPr>
        <w:pStyle w:val="Textonotapie"/>
        <w:rPr>
          <w:rFonts w:ascii="Palatino Linotype" w:hAnsi="Palatino Linotype"/>
          <w:b/>
          <w:sz w:val="16"/>
          <w:szCs w:val="16"/>
        </w:rPr>
      </w:pPr>
      <w:r>
        <w:rPr>
          <w:rStyle w:val="Refdenotaalpie"/>
        </w:rPr>
        <w:footnoteRef/>
      </w:r>
      <w:r>
        <w:t xml:space="preserve"> “</w:t>
      </w:r>
      <w:r w:rsidRPr="00263A9C">
        <w:rPr>
          <w:rFonts w:ascii="Palatino Linotype" w:hAnsi="Palatino Linotype"/>
          <w:b/>
          <w:sz w:val="16"/>
          <w:szCs w:val="16"/>
        </w:rPr>
        <w:t>Artículo 173</w:t>
      </w:r>
      <w:r w:rsidRPr="00263A9C">
        <w:rPr>
          <w:rFonts w:ascii="Palatino Linotype" w:hAnsi="Palatino Linotype"/>
          <w:sz w:val="16"/>
          <w:szCs w:val="16"/>
        </w:rPr>
        <w:t xml:space="preserve">. Sin perjuicio de lo anteriormente establecido, </w:t>
      </w:r>
      <w:r w:rsidRPr="00263A9C">
        <w:rPr>
          <w:rFonts w:ascii="Palatino Linotype" w:hAnsi="Palatino Linotype"/>
          <w:b/>
          <w:sz w:val="16"/>
          <w:szCs w:val="16"/>
        </w:rPr>
        <w:t xml:space="preserve">el procedimiento de acceso a la información se rige por los siguientes principios: </w:t>
      </w:r>
    </w:p>
    <w:p w:rsidR="00C919F1" w:rsidRDefault="00C919F1">
      <w:pPr>
        <w:pStyle w:val="Textonotapie"/>
        <w:rPr>
          <w:rFonts w:ascii="Palatino Linotype" w:hAnsi="Palatino Linotype"/>
          <w:sz w:val="16"/>
          <w:szCs w:val="16"/>
        </w:rPr>
      </w:pPr>
      <w:r w:rsidRPr="00263A9C">
        <w:rPr>
          <w:rFonts w:ascii="Palatino Linotype" w:hAnsi="Palatino Linotype"/>
          <w:sz w:val="16"/>
          <w:szCs w:val="16"/>
        </w:rPr>
        <w:t xml:space="preserve">I. Simplicidad y rapidez; </w:t>
      </w:r>
    </w:p>
    <w:p w:rsidR="00C919F1" w:rsidRDefault="00C919F1">
      <w:pPr>
        <w:pStyle w:val="Textonotapie"/>
        <w:rPr>
          <w:rFonts w:ascii="Palatino Linotype" w:hAnsi="Palatino Linotype"/>
          <w:sz w:val="16"/>
          <w:szCs w:val="16"/>
        </w:rPr>
      </w:pPr>
      <w:r w:rsidRPr="00263A9C">
        <w:rPr>
          <w:rFonts w:ascii="Palatino Linotype" w:hAnsi="Palatino Linotype"/>
          <w:sz w:val="16"/>
          <w:szCs w:val="16"/>
        </w:rPr>
        <w:t xml:space="preserve">II. Gratuidad del procedimiento; y </w:t>
      </w:r>
    </w:p>
    <w:p w:rsidR="00C919F1" w:rsidRPr="00263A9C" w:rsidRDefault="00C919F1">
      <w:pPr>
        <w:pStyle w:val="Textonotapie"/>
        <w:rPr>
          <w:rFonts w:ascii="Palatino Linotype" w:hAnsi="Palatino Linotype"/>
          <w:b/>
          <w:sz w:val="16"/>
          <w:szCs w:val="16"/>
        </w:rPr>
      </w:pPr>
      <w:r w:rsidRPr="00263A9C">
        <w:rPr>
          <w:rFonts w:ascii="Palatino Linotype" w:hAnsi="Palatino Linotype"/>
          <w:b/>
          <w:sz w:val="16"/>
          <w:szCs w:val="16"/>
        </w:rPr>
        <w:t>III. Auxilio y orientación a los particulares.”</w:t>
      </w:r>
    </w:p>
  </w:footnote>
  <w:footnote w:id="2">
    <w:p w:rsidR="00C919F1" w:rsidRPr="00781220" w:rsidRDefault="00C919F1" w:rsidP="00781220">
      <w:pPr>
        <w:pStyle w:val="Textonotapie"/>
        <w:jc w:val="both"/>
        <w:rPr>
          <w:rFonts w:ascii="Palatino Linotype" w:hAnsi="Palatino Linotype"/>
          <w:sz w:val="16"/>
          <w:szCs w:val="16"/>
        </w:rPr>
      </w:pPr>
      <w:r>
        <w:rPr>
          <w:rStyle w:val="Refdenotaalpie"/>
        </w:rPr>
        <w:footnoteRef/>
      </w:r>
      <w:r>
        <w:t xml:space="preserve"> </w:t>
      </w:r>
      <w:r w:rsidRPr="00781220">
        <w:rPr>
          <w:rFonts w:ascii="Palatino Linotype" w:hAnsi="Palatino Linotype"/>
          <w:sz w:val="16"/>
          <w:szCs w:val="16"/>
        </w:rPr>
        <w:t>Temporalidad que se fija de acuerdo a la solicitud de información, respecto de los años 2016 y 2017, ya que para 2018 se tomó hasta la fecha de presentación de la misma.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9F1" w:rsidRPr="00354355" w:rsidRDefault="00C919F1" w:rsidP="00F06322">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1"/>
      <w:gridCol w:w="3261"/>
    </w:tblGrid>
    <w:tr w:rsidR="00C919F1" w:rsidRPr="008F2CCC" w:rsidTr="0041633D">
      <w:tc>
        <w:tcPr>
          <w:tcW w:w="3544" w:type="dxa"/>
        </w:tcPr>
        <w:p w:rsidR="00C919F1" w:rsidRPr="008F2CCC" w:rsidRDefault="00C919F1" w:rsidP="00F06322">
          <w:pPr>
            <w:rPr>
              <w:rFonts w:ascii="Palatino Linotype" w:hAnsi="Palatino Linotype"/>
              <w:b/>
              <w:sz w:val="22"/>
              <w:szCs w:val="22"/>
              <w:lang w:val="es-ES_tradnl"/>
            </w:rPr>
          </w:pPr>
        </w:p>
      </w:tc>
      <w:tc>
        <w:tcPr>
          <w:tcW w:w="2551" w:type="dxa"/>
          <w:shd w:val="clear" w:color="auto" w:fill="auto"/>
        </w:tcPr>
        <w:p w:rsidR="00C919F1" w:rsidRPr="00664658" w:rsidRDefault="00C919F1" w:rsidP="00F0632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1" w:type="dxa"/>
          <w:shd w:val="clear" w:color="auto" w:fill="auto"/>
          <w:vAlign w:val="center"/>
        </w:tcPr>
        <w:p w:rsidR="00C919F1" w:rsidRPr="00664658" w:rsidRDefault="00C919F1" w:rsidP="0041633D">
          <w:pPr>
            <w:jc w:val="both"/>
            <w:rPr>
              <w:rFonts w:ascii="Palatino Linotype" w:hAnsi="Palatino Linotype"/>
              <w:b/>
              <w:sz w:val="22"/>
              <w:szCs w:val="22"/>
              <w:lang w:val="es-ES_tradnl"/>
            </w:rPr>
          </w:pPr>
          <w:r>
            <w:rPr>
              <w:rFonts w:ascii="Palatino Linotype" w:hAnsi="Palatino Linotype"/>
              <w:b/>
              <w:sz w:val="22"/>
              <w:szCs w:val="22"/>
              <w:lang w:val="es-ES_tradnl"/>
            </w:rPr>
            <w:t>04632/INFOEM/IP/RR/2018</w:t>
          </w:r>
        </w:p>
      </w:tc>
    </w:tr>
    <w:tr w:rsidR="00C919F1" w:rsidRPr="008F2CCC" w:rsidTr="0041633D">
      <w:tc>
        <w:tcPr>
          <w:tcW w:w="3544" w:type="dxa"/>
        </w:tcPr>
        <w:p w:rsidR="00C919F1" w:rsidRPr="008F2CCC" w:rsidRDefault="00C919F1" w:rsidP="00F06322">
          <w:pPr>
            <w:rPr>
              <w:rFonts w:ascii="Palatino Linotype" w:hAnsi="Palatino Linotype"/>
              <w:b/>
              <w:sz w:val="22"/>
              <w:szCs w:val="22"/>
              <w:lang w:val="es-ES_tradnl"/>
            </w:rPr>
          </w:pPr>
        </w:p>
      </w:tc>
      <w:tc>
        <w:tcPr>
          <w:tcW w:w="2551" w:type="dxa"/>
          <w:shd w:val="clear" w:color="auto" w:fill="auto"/>
        </w:tcPr>
        <w:p w:rsidR="00C919F1" w:rsidRPr="00664658" w:rsidRDefault="00C919F1" w:rsidP="00F0632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1" w:type="dxa"/>
          <w:shd w:val="clear" w:color="auto" w:fill="auto"/>
          <w:vAlign w:val="center"/>
        </w:tcPr>
        <w:p w:rsidR="00C919F1" w:rsidRPr="00DC41C8" w:rsidRDefault="00C919F1" w:rsidP="00F06322">
          <w:pPr>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Drenaje y Tratamiento de Aguas Residuales del Municipio de Huixquilucan México, denominado “Sistema Aguas de Huixquilucan”</w:t>
          </w:r>
        </w:p>
      </w:tc>
    </w:tr>
    <w:tr w:rsidR="00C919F1" w:rsidRPr="008F2CCC" w:rsidTr="0041633D">
      <w:trPr>
        <w:trHeight w:val="228"/>
      </w:trPr>
      <w:tc>
        <w:tcPr>
          <w:tcW w:w="3544" w:type="dxa"/>
        </w:tcPr>
        <w:p w:rsidR="00C919F1" w:rsidRPr="008F2CCC" w:rsidRDefault="00C919F1" w:rsidP="00F06322">
          <w:pPr>
            <w:rPr>
              <w:rFonts w:ascii="Palatino Linotype" w:hAnsi="Palatino Linotype"/>
              <w:b/>
              <w:sz w:val="22"/>
              <w:szCs w:val="22"/>
              <w:lang w:val="es-ES_tradnl"/>
            </w:rPr>
          </w:pPr>
        </w:p>
      </w:tc>
      <w:tc>
        <w:tcPr>
          <w:tcW w:w="2551" w:type="dxa"/>
          <w:shd w:val="clear" w:color="auto" w:fill="auto"/>
        </w:tcPr>
        <w:p w:rsidR="00C919F1" w:rsidRPr="00664658" w:rsidRDefault="00C919F1" w:rsidP="00F0632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1" w:type="dxa"/>
          <w:shd w:val="clear" w:color="auto" w:fill="auto"/>
        </w:tcPr>
        <w:p w:rsidR="00C919F1" w:rsidRPr="00664658" w:rsidRDefault="00C919F1" w:rsidP="00F0632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919F1" w:rsidRPr="00354355" w:rsidRDefault="00C919F1" w:rsidP="00F06322">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9F1" w:rsidRPr="00B8513C" w:rsidRDefault="00C919F1">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C919F1" w:rsidRPr="008F2CCC" w:rsidTr="0041633D">
      <w:tc>
        <w:tcPr>
          <w:tcW w:w="3403" w:type="dxa"/>
          <w:vMerge w:val="restart"/>
        </w:tcPr>
        <w:p w:rsidR="00C919F1" w:rsidRPr="008F2CCC" w:rsidRDefault="00C919F1" w:rsidP="00F06322">
          <w:pPr>
            <w:rPr>
              <w:rFonts w:ascii="Palatino Linotype" w:hAnsi="Palatino Linotype"/>
              <w:b/>
              <w:sz w:val="22"/>
              <w:szCs w:val="22"/>
              <w:lang w:val="es-ES_tradnl"/>
            </w:rPr>
          </w:pPr>
        </w:p>
      </w:tc>
      <w:tc>
        <w:tcPr>
          <w:tcW w:w="2551" w:type="dxa"/>
          <w:shd w:val="clear" w:color="auto" w:fill="auto"/>
        </w:tcPr>
        <w:p w:rsidR="00C919F1" w:rsidRPr="008F2CCC" w:rsidRDefault="00C919F1" w:rsidP="00F0632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C919F1" w:rsidRPr="008F2CCC" w:rsidRDefault="00C919F1" w:rsidP="0041633D">
          <w:pPr>
            <w:jc w:val="both"/>
            <w:rPr>
              <w:rFonts w:ascii="Palatino Linotype" w:hAnsi="Palatino Linotype"/>
              <w:b/>
              <w:sz w:val="22"/>
              <w:szCs w:val="22"/>
              <w:lang w:val="es-ES_tradnl"/>
            </w:rPr>
          </w:pPr>
          <w:r>
            <w:rPr>
              <w:rFonts w:ascii="Palatino Linotype" w:hAnsi="Palatino Linotype"/>
              <w:b/>
              <w:sz w:val="22"/>
              <w:szCs w:val="22"/>
              <w:lang w:val="es-ES_tradnl"/>
            </w:rPr>
            <w:t>04632/INFOEM/IP/RR/2018</w:t>
          </w:r>
        </w:p>
      </w:tc>
    </w:tr>
    <w:tr w:rsidR="00C919F1" w:rsidRPr="008F2CCC" w:rsidTr="0041633D">
      <w:tc>
        <w:tcPr>
          <w:tcW w:w="3403" w:type="dxa"/>
          <w:vMerge/>
        </w:tcPr>
        <w:p w:rsidR="00C919F1" w:rsidRPr="008F2CCC" w:rsidRDefault="00C919F1" w:rsidP="00F06322">
          <w:pPr>
            <w:rPr>
              <w:rFonts w:ascii="Palatino Linotype" w:hAnsi="Palatino Linotype"/>
              <w:b/>
              <w:sz w:val="22"/>
              <w:szCs w:val="22"/>
              <w:lang w:val="es-ES_tradnl"/>
            </w:rPr>
          </w:pPr>
        </w:p>
      </w:tc>
      <w:tc>
        <w:tcPr>
          <w:tcW w:w="2551" w:type="dxa"/>
          <w:shd w:val="clear" w:color="auto" w:fill="auto"/>
          <w:vAlign w:val="center"/>
        </w:tcPr>
        <w:p w:rsidR="00C919F1" w:rsidRPr="008F2CCC" w:rsidRDefault="00C86CE3" w:rsidP="00F06322">
          <w:pPr>
            <w:rPr>
              <w:rFonts w:ascii="Palatino Linotype" w:hAnsi="Palatino Linotype"/>
              <w:b/>
              <w:sz w:val="22"/>
              <w:szCs w:val="22"/>
              <w:lang w:val="es-ES_tradnl"/>
            </w:rPr>
          </w:pPr>
          <w:r>
            <w:rPr>
              <w:rFonts w:ascii="Palatino Linotype" w:hAnsi="Palatino Linotype"/>
              <w:b/>
              <w:sz w:val="22"/>
              <w:szCs w:val="22"/>
              <w:lang w:val="es-ES_tradnl"/>
            </w:rPr>
            <w:t>La Recurrente</w:t>
          </w:r>
          <w:r w:rsidR="00C919F1" w:rsidRPr="008F2CCC">
            <w:rPr>
              <w:rFonts w:ascii="Palatino Linotype" w:hAnsi="Palatino Linotype"/>
              <w:b/>
              <w:sz w:val="22"/>
              <w:szCs w:val="22"/>
              <w:lang w:val="es-ES_tradnl"/>
            </w:rPr>
            <w:t>:</w:t>
          </w:r>
        </w:p>
      </w:tc>
      <w:tc>
        <w:tcPr>
          <w:tcW w:w="3402" w:type="dxa"/>
          <w:shd w:val="clear" w:color="auto" w:fill="auto"/>
          <w:vAlign w:val="center"/>
        </w:tcPr>
        <w:p w:rsidR="00C919F1" w:rsidRPr="008F2CCC" w:rsidRDefault="001D1514" w:rsidP="001D1514">
          <w:pPr>
            <w:jc w:val="both"/>
            <w:rPr>
              <w:rFonts w:ascii="Palatino Linotype" w:hAnsi="Palatino Linotype"/>
              <w:b/>
              <w:sz w:val="22"/>
              <w:szCs w:val="22"/>
              <w:lang w:val="es-ES_tradnl"/>
            </w:rPr>
          </w:pPr>
          <w:r>
            <w:rPr>
              <w:rFonts w:ascii="Palatino Linotype" w:hAnsi="Palatino Linotype"/>
              <w:b/>
              <w:sz w:val="22"/>
              <w:szCs w:val="22"/>
            </w:rPr>
            <w:t>XXXX XXXXXXXXXXXX XXXXX</w:t>
          </w:r>
        </w:p>
      </w:tc>
    </w:tr>
    <w:tr w:rsidR="00C919F1" w:rsidRPr="008F2CCC" w:rsidTr="0041633D">
      <w:trPr>
        <w:trHeight w:val="228"/>
      </w:trPr>
      <w:tc>
        <w:tcPr>
          <w:tcW w:w="3403" w:type="dxa"/>
          <w:vMerge/>
        </w:tcPr>
        <w:p w:rsidR="00C919F1" w:rsidRPr="008F2CCC" w:rsidRDefault="00C919F1" w:rsidP="00F06322">
          <w:pPr>
            <w:rPr>
              <w:rFonts w:ascii="Palatino Linotype" w:hAnsi="Palatino Linotype"/>
              <w:b/>
              <w:sz w:val="22"/>
              <w:szCs w:val="22"/>
              <w:lang w:val="es-ES_tradnl"/>
            </w:rPr>
          </w:pPr>
        </w:p>
      </w:tc>
      <w:tc>
        <w:tcPr>
          <w:tcW w:w="2551" w:type="dxa"/>
          <w:shd w:val="clear" w:color="auto" w:fill="auto"/>
        </w:tcPr>
        <w:p w:rsidR="00C919F1" w:rsidRPr="008F2CCC" w:rsidRDefault="00C919F1" w:rsidP="00F0632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C919F1" w:rsidRPr="00DC41C8" w:rsidRDefault="00C919F1" w:rsidP="00F06322">
          <w:pPr>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Drenaje y Tratamiento de Aguas Residuales del Municipio de Huixquilucan México, denominado “Sistema Aguas de Huixquilucan”</w:t>
          </w:r>
        </w:p>
      </w:tc>
    </w:tr>
    <w:tr w:rsidR="00C919F1" w:rsidRPr="008F2CCC" w:rsidTr="0041633D">
      <w:tc>
        <w:tcPr>
          <w:tcW w:w="3403" w:type="dxa"/>
          <w:vMerge/>
        </w:tcPr>
        <w:p w:rsidR="00C919F1" w:rsidRPr="008F2CCC" w:rsidRDefault="00C919F1" w:rsidP="00F06322">
          <w:pPr>
            <w:rPr>
              <w:rFonts w:ascii="Palatino Linotype" w:hAnsi="Palatino Linotype"/>
              <w:b/>
              <w:sz w:val="22"/>
              <w:szCs w:val="22"/>
              <w:lang w:val="es-ES_tradnl"/>
            </w:rPr>
          </w:pPr>
        </w:p>
      </w:tc>
      <w:tc>
        <w:tcPr>
          <w:tcW w:w="2551" w:type="dxa"/>
          <w:shd w:val="clear" w:color="auto" w:fill="auto"/>
        </w:tcPr>
        <w:p w:rsidR="00C919F1" w:rsidRPr="008F2CCC" w:rsidRDefault="00C919F1" w:rsidP="00F0632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C919F1" w:rsidRPr="008F2CCC" w:rsidRDefault="00C919F1" w:rsidP="00F0632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919F1" w:rsidRPr="00B8513C" w:rsidRDefault="00C919F1" w:rsidP="00F06322">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45941"/>
    <w:multiLevelType w:val="hybridMultilevel"/>
    <w:tmpl w:val="C79C4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33D"/>
    <w:rsid w:val="00050E9B"/>
    <w:rsid w:val="00102436"/>
    <w:rsid w:val="00113F8A"/>
    <w:rsid w:val="00117789"/>
    <w:rsid w:val="00122F56"/>
    <w:rsid w:val="001425A3"/>
    <w:rsid w:val="001D1514"/>
    <w:rsid w:val="00263A9C"/>
    <w:rsid w:val="00287301"/>
    <w:rsid w:val="002C06DA"/>
    <w:rsid w:val="002C1FBB"/>
    <w:rsid w:val="002C45E3"/>
    <w:rsid w:val="00306FE9"/>
    <w:rsid w:val="00317553"/>
    <w:rsid w:val="003809BB"/>
    <w:rsid w:val="003B7758"/>
    <w:rsid w:val="003E40F2"/>
    <w:rsid w:val="003F3DAA"/>
    <w:rsid w:val="0041633D"/>
    <w:rsid w:val="004B65DF"/>
    <w:rsid w:val="00500847"/>
    <w:rsid w:val="0054618C"/>
    <w:rsid w:val="005E027C"/>
    <w:rsid w:val="00603FE8"/>
    <w:rsid w:val="006B6446"/>
    <w:rsid w:val="00732933"/>
    <w:rsid w:val="0076145D"/>
    <w:rsid w:val="00767E35"/>
    <w:rsid w:val="00775889"/>
    <w:rsid w:val="00781220"/>
    <w:rsid w:val="007A43A1"/>
    <w:rsid w:val="007F126A"/>
    <w:rsid w:val="0084694A"/>
    <w:rsid w:val="008653E6"/>
    <w:rsid w:val="00866A28"/>
    <w:rsid w:val="008D2B48"/>
    <w:rsid w:val="00924873"/>
    <w:rsid w:val="00962FA1"/>
    <w:rsid w:val="00966365"/>
    <w:rsid w:val="009B56F4"/>
    <w:rsid w:val="009F3C34"/>
    <w:rsid w:val="00A4553E"/>
    <w:rsid w:val="00A6770A"/>
    <w:rsid w:val="00A90F1D"/>
    <w:rsid w:val="00B13CD4"/>
    <w:rsid w:val="00B24965"/>
    <w:rsid w:val="00B27504"/>
    <w:rsid w:val="00B27AFA"/>
    <w:rsid w:val="00BF0816"/>
    <w:rsid w:val="00C16AA1"/>
    <w:rsid w:val="00C23B43"/>
    <w:rsid w:val="00C50133"/>
    <w:rsid w:val="00C86CE3"/>
    <w:rsid w:val="00C919F1"/>
    <w:rsid w:val="00C9714C"/>
    <w:rsid w:val="00CC30EA"/>
    <w:rsid w:val="00CF1E8A"/>
    <w:rsid w:val="00DC50C9"/>
    <w:rsid w:val="00E006EC"/>
    <w:rsid w:val="00E80A5B"/>
    <w:rsid w:val="00EB2E3B"/>
    <w:rsid w:val="00F01223"/>
    <w:rsid w:val="00F05D31"/>
    <w:rsid w:val="00F06322"/>
    <w:rsid w:val="00F11D0C"/>
    <w:rsid w:val="00FB4A4A"/>
    <w:rsid w:val="00FD53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CDF8721-3A28-4D21-AFCF-31B854B1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33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633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1633D"/>
    <w:rPr>
      <w:rFonts w:eastAsiaTheme="minorEastAsia"/>
      <w:sz w:val="24"/>
      <w:szCs w:val="24"/>
      <w:lang w:val="es-ES_tradnl" w:eastAsia="es-ES"/>
    </w:rPr>
  </w:style>
  <w:style w:type="paragraph" w:styleId="Piedepgina">
    <w:name w:val="footer"/>
    <w:basedOn w:val="Normal"/>
    <w:link w:val="PiedepginaCar"/>
    <w:uiPriority w:val="99"/>
    <w:unhideWhenUsed/>
    <w:rsid w:val="0041633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1633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1633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1633D"/>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41633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1633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1633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41633D"/>
    <w:rPr>
      <w:vertAlign w:val="superscript"/>
    </w:rPr>
  </w:style>
  <w:style w:type="paragraph" w:customStyle="1" w:styleId="paragraph">
    <w:name w:val="paragraph"/>
    <w:basedOn w:val="Normal"/>
    <w:rsid w:val="0041633D"/>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NormalWeb">
    <w:name w:val="Normal (Web)"/>
    <w:basedOn w:val="Normal"/>
    <w:uiPriority w:val="99"/>
    <w:rsid w:val="00F06322"/>
    <w:pPr>
      <w:spacing w:before="100" w:beforeAutospacing="1" w:after="100" w:afterAutospacing="1"/>
    </w:pPr>
    <w:rPr>
      <w:lang w:val="es-ES"/>
    </w:rPr>
  </w:style>
  <w:style w:type="paragraph" w:styleId="Textodeglobo">
    <w:name w:val="Balloon Text"/>
    <w:basedOn w:val="Normal"/>
    <w:link w:val="TextodegloboCar"/>
    <w:uiPriority w:val="99"/>
    <w:semiHidden/>
    <w:unhideWhenUsed/>
    <w:rsid w:val="00113F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3F8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7E150-148E-4B7B-B045-42B6C6EF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63</Pages>
  <Words>12019</Words>
  <Characters>66108</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2019-02-27T00:05:00Z</cp:lastPrinted>
  <dcterms:created xsi:type="dcterms:W3CDTF">2019-02-01T01:22:00Z</dcterms:created>
  <dcterms:modified xsi:type="dcterms:W3CDTF">2019-03-13T16:31:00Z</dcterms:modified>
</cp:coreProperties>
</file>